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498E02C9" w:rsidR="00D309CC" w:rsidRDefault="00D309CC" w:rsidP="00D46431">
      <w:pPr>
        <w:pStyle w:val="CH"/>
      </w:pPr>
      <w:bookmarkStart w:id="0" w:name="historyclause"/>
      <w:r w:rsidRPr="00EB22F4">
        <w:t>3GPP RAN</w:t>
      </w:r>
      <w:r w:rsidR="00CF20E3" w:rsidRPr="00EB22F4">
        <w:t xml:space="preserve"> </w:t>
      </w:r>
      <w:r w:rsidR="00A255D6">
        <w:t>TSG</w:t>
      </w:r>
      <w:r w:rsidRPr="00EB22F4">
        <w:t xml:space="preserve"> Meeting #</w:t>
      </w:r>
      <w:r w:rsidR="00135619">
        <w:t>10</w:t>
      </w:r>
      <w:r w:rsidR="00C93538">
        <w:t>4</w:t>
      </w:r>
      <w:r>
        <w:tab/>
      </w:r>
      <w:r w:rsidR="00D46431">
        <w:tab/>
      </w:r>
      <w:r w:rsidR="003F6793" w:rsidRPr="00D857BA">
        <w:t>RP-2</w:t>
      </w:r>
      <w:r w:rsidR="00C93538">
        <w:t>4</w:t>
      </w:r>
      <w:r w:rsidR="00F94A52">
        <w:t>1269</w:t>
      </w:r>
    </w:p>
    <w:p w14:paraId="39A0EE25" w14:textId="20B9C4CB" w:rsidR="00D309CC" w:rsidRDefault="00C93538" w:rsidP="00D309CC">
      <w:pPr>
        <w:tabs>
          <w:tab w:val="left" w:pos="2160"/>
        </w:tabs>
        <w:rPr>
          <w:rFonts w:ascii="Arial" w:hAnsi="Arial" w:cs="Arial"/>
          <w:b/>
        </w:rPr>
      </w:pPr>
      <w:r w:rsidRPr="00C93538">
        <w:rPr>
          <w:rFonts w:ascii="Arial" w:hAnsi="Arial" w:cs="Arial"/>
          <w:b/>
        </w:rPr>
        <w:t>Shanghai, China, June 17-20</w:t>
      </w:r>
      <w:r w:rsidR="00135619" w:rsidRPr="00135619">
        <w:rPr>
          <w:rFonts w:ascii="Arial" w:hAnsi="Arial" w:cs="Arial"/>
          <w:b/>
        </w:rPr>
        <w:t>, 202</w:t>
      </w:r>
      <w:r>
        <w:rPr>
          <w:rFonts w:ascii="Arial" w:hAnsi="Arial" w:cs="Arial"/>
          <w:b/>
        </w:rPr>
        <w:t>4</w:t>
      </w:r>
    </w:p>
    <w:p w14:paraId="456F64AD" w14:textId="77777777" w:rsidR="00135619" w:rsidRDefault="00135619" w:rsidP="00D309CC">
      <w:pPr>
        <w:tabs>
          <w:tab w:val="left" w:pos="2160"/>
        </w:tabs>
        <w:rPr>
          <w:rFonts w:ascii="Arial" w:hAnsi="Arial" w:cs="Arial"/>
          <w:b/>
        </w:rPr>
      </w:pPr>
    </w:p>
    <w:p w14:paraId="6DDCE159" w14:textId="1351ED90" w:rsidR="00D309CC" w:rsidRPr="0008103A" w:rsidRDefault="00D309CC" w:rsidP="00D309CC">
      <w:pPr>
        <w:pStyle w:val="CH"/>
        <w:rPr>
          <w:b w:val="0"/>
        </w:rPr>
      </w:pPr>
      <w:r w:rsidRPr="0008103A">
        <w:t>Agenda item:</w:t>
      </w:r>
      <w:r>
        <w:tab/>
      </w:r>
      <w:r w:rsidR="00A255D6">
        <w:t>9.</w:t>
      </w:r>
      <w:r w:rsidR="00C93538">
        <w:t>1</w:t>
      </w:r>
      <w:r w:rsidR="00112A20">
        <w:t>.</w:t>
      </w:r>
      <w:r w:rsidR="00BF1E1E">
        <w:t>4</w:t>
      </w:r>
    </w:p>
    <w:p w14:paraId="4DBE005A" w14:textId="32DE9276" w:rsidR="00D309CC" w:rsidRPr="0008103A" w:rsidRDefault="00D309CC" w:rsidP="00D309CC">
      <w:pPr>
        <w:pStyle w:val="CH"/>
        <w:rPr>
          <w:b w:val="0"/>
        </w:rPr>
      </w:pPr>
      <w:r>
        <w:t>Source:</w:t>
      </w:r>
      <w:r>
        <w:tab/>
        <w:t>Apple</w:t>
      </w:r>
    </w:p>
    <w:p w14:paraId="0D2061A1" w14:textId="3659F8F7" w:rsidR="00D309CC" w:rsidRDefault="00D309CC" w:rsidP="00112D80">
      <w:pPr>
        <w:pStyle w:val="CH"/>
        <w:ind w:left="2268" w:hanging="2268"/>
      </w:pPr>
      <w:r w:rsidRPr="0008103A">
        <w:t>Title:</w:t>
      </w:r>
      <w:r w:rsidRPr="0008103A">
        <w:tab/>
      </w:r>
      <w:r w:rsidR="00C93538" w:rsidRPr="00C93538">
        <w:t>On Fragmented Carriers in Rel-19</w:t>
      </w:r>
    </w:p>
    <w:p w14:paraId="2E4E044D" w14:textId="59C1FAB7" w:rsidR="00D309CC" w:rsidRDefault="00D309CC" w:rsidP="00D309CC">
      <w:pPr>
        <w:pStyle w:val="CH"/>
      </w:pPr>
      <w:r>
        <w:t>Document for:</w:t>
      </w:r>
      <w:r>
        <w:tab/>
      </w:r>
      <w:r w:rsidR="00AC0039">
        <w:t>D</w:t>
      </w:r>
      <w:r w:rsidR="004D6380">
        <w:t>ecision</w:t>
      </w:r>
    </w:p>
    <w:p w14:paraId="0207DB43" w14:textId="77777777" w:rsidR="00D46431" w:rsidRPr="0008103A" w:rsidRDefault="00D46431" w:rsidP="00D309CC">
      <w:pPr>
        <w:pStyle w:val="CH"/>
        <w:rPr>
          <w:b w:val="0"/>
        </w:rPr>
      </w:pPr>
    </w:p>
    <w:p w14:paraId="0273524A" w14:textId="1D8BC476" w:rsidR="008E7986" w:rsidRDefault="00AC0039" w:rsidP="00AC0039">
      <w:pPr>
        <w:pStyle w:val="Heading1"/>
      </w:pPr>
      <w:r>
        <w:rPr>
          <w:lang w:val="en-US"/>
        </w:rPr>
        <w:t>1</w:t>
      </w:r>
      <w:r>
        <w:tab/>
      </w:r>
      <w:r w:rsidR="008E7986" w:rsidRPr="004D3578">
        <w:t>Introduction</w:t>
      </w:r>
      <w:r w:rsidR="008E7986">
        <w:t xml:space="preserve"> </w:t>
      </w:r>
    </w:p>
    <w:p w14:paraId="4342BCF2" w14:textId="4E8DF768" w:rsidR="00C93538" w:rsidRDefault="00C93538" w:rsidP="001D69B8">
      <w:pPr>
        <w:pStyle w:val="B1"/>
        <w:overflowPunct w:val="0"/>
        <w:autoSpaceDE w:val="0"/>
        <w:autoSpaceDN w:val="0"/>
        <w:adjustRightInd w:val="0"/>
        <w:spacing w:before="180" w:after="180"/>
        <w:ind w:left="0" w:firstLine="0"/>
        <w:textAlignment w:val="baseline"/>
        <w:rPr>
          <w:sz w:val="20"/>
          <w:szCs w:val="20"/>
          <w:lang w:eastAsia="ja-JP"/>
        </w:rPr>
      </w:pPr>
      <w:proofErr w:type="gramStart"/>
      <w:r>
        <w:rPr>
          <w:sz w:val="20"/>
          <w:szCs w:val="20"/>
          <w:lang w:eastAsia="ja-JP"/>
        </w:rPr>
        <w:t>A number of</w:t>
      </w:r>
      <w:proofErr w:type="gramEnd"/>
      <w:r>
        <w:rPr>
          <w:sz w:val="20"/>
          <w:szCs w:val="20"/>
          <w:lang w:eastAsia="ja-JP"/>
        </w:rPr>
        <w:t xml:space="preserve"> operators wanted to study ways to e</w:t>
      </w:r>
      <w:r w:rsidRPr="00C93538">
        <w:rPr>
          <w:sz w:val="20"/>
          <w:szCs w:val="20"/>
          <w:lang w:eastAsia="ja-JP"/>
        </w:rPr>
        <w:t>ffective</w:t>
      </w:r>
      <w:r>
        <w:rPr>
          <w:sz w:val="20"/>
          <w:szCs w:val="20"/>
          <w:lang w:eastAsia="ja-JP"/>
        </w:rPr>
        <w:t>ly use f</w:t>
      </w:r>
      <w:r w:rsidRPr="00C93538">
        <w:rPr>
          <w:sz w:val="20"/>
          <w:szCs w:val="20"/>
          <w:lang w:eastAsia="ja-JP"/>
        </w:rPr>
        <w:t>ragmented FR1 carriers in the DL</w:t>
      </w:r>
      <w:r w:rsidR="00BD07FF">
        <w:rPr>
          <w:sz w:val="20"/>
          <w:szCs w:val="20"/>
          <w:lang w:eastAsia="ja-JP"/>
        </w:rPr>
        <w:t xml:space="preserve"> [1]. Specifically, it was proposed to </w:t>
      </w:r>
      <w:r w:rsidR="00BD07FF" w:rsidRPr="00BD07FF">
        <w:rPr>
          <w:sz w:val="20"/>
          <w:szCs w:val="20"/>
          <w:lang w:eastAsia="ja-JP"/>
        </w:rPr>
        <w:t>study the use of fewer R</w:t>
      </w:r>
      <w:r w:rsidR="00BD07FF">
        <w:rPr>
          <w:sz w:val="20"/>
          <w:szCs w:val="20"/>
          <w:lang w:eastAsia="ja-JP"/>
        </w:rPr>
        <w:t>X</w:t>
      </w:r>
      <w:r w:rsidR="00BD07FF" w:rsidRPr="00BD07FF">
        <w:rPr>
          <w:sz w:val="20"/>
          <w:szCs w:val="20"/>
          <w:lang w:eastAsia="ja-JP"/>
        </w:rPr>
        <w:t xml:space="preserve"> chains than carrier fragments in a band</w:t>
      </w:r>
      <w:r w:rsidR="00BD07FF">
        <w:rPr>
          <w:sz w:val="20"/>
          <w:szCs w:val="20"/>
          <w:lang w:eastAsia="ja-JP"/>
        </w:rPr>
        <w:t xml:space="preserve">. As a result, the RX chains that are freed up can be used to support </w:t>
      </w:r>
      <w:r w:rsidR="00BD07FF" w:rsidRPr="00BD07FF">
        <w:rPr>
          <w:sz w:val="20"/>
          <w:szCs w:val="20"/>
          <w:lang w:eastAsia="ja-JP"/>
        </w:rPr>
        <w:t xml:space="preserve">additional </w:t>
      </w:r>
      <w:r w:rsidR="00BD07FF">
        <w:rPr>
          <w:sz w:val="20"/>
          <w:szCs w:val="20"/>
          <w:lang w:eastAsia="ja-JP"/>
        </w:rPr>
        <w:t xml:space="preserve">CCs if the number of RX chains is the bottleneck in the UE in terms of supporting more CCs. After </w:t>
      </w:r>
      <w:r w:rsidR="005C7C46">
        <w:rPr>
          <w:sz w:val="20"/>
          <w:szCs w:val="20"/>
          <w:lang w:eastAsia="ja-JP"/>
        </w:rPr>
        <w:t xml:space="preserve">extensive </w:t>
      </w:r>
      <w:r w:rsidR="00BD07FF">
        <w:rPr>
          <w:sz w:val="20"/>
          <w:szCs w:val="20"/>
          <w:lang w:eastAsia="ja-JP"/>
        </w:rPr>
        <w:t>discussion</w:t>
      </w:r>
      <w:r w:rsidR="005C7C46">
        <w:rPr>
          <w:sz w:val="20"/>
          <w:szCs w:val="20"/>
          <w:lang w:eastAsia="ja-JP"/>
        </w:rPr>
        <w:t>s</w:t>
      </w:r>
      <w:r w:rsidR="00BD07FF">
        <w:rPr>
          <w:sz w:val="20"/>
          <w:szCs w:val="20"/>
          <w:lang w:eastAsia="ja-JP"/>
        </w:rPr>
        <w:t>, a WF [2] was endorsed in RAN#103.</w:t>
      </w:r>
    </w:p>
    <w:p w14:paraId="2F1C66C5" w14:textId="3109793F" w:rsidR="00B745B2" w:rsidRDefault="00292223" w:rsidP="001D69B8">
      <w:pPr>
        <w:pStyle w:val="B1"/>
        <w:overflowPunct w:val="0"/>
        <w:autoSpaceDE w:val="0"/>
        <w:autoSpaceDN w:val="0"/>
        <w:adjustRightInd w:val="0"/>
        <w:spacing w:before="180" w:after="180"/>
        <w:ind w:left="0" w:firstLine="0"/>
        <w:textAlignment w:val="baseline"/>
        <w:rPr>
          <w:sz w:val="20"/>
          <w:szCs w:val="20"/>
          <w:lang w:eastAsia="ja-JP"/>
        </w:rPr>
      </w:pPr>
      <w:r>
        <w:rPr>
          <w:sz w:val="20"/>
          <w:szCs w:val="20"/>
        </w:rPr>
        <w:t xml:space="preserve">It is understood the R19 SID would be drafted based on the WF. At the same time, there is a need to further clarify the scope of the study as agreed in the WF. </w:t>
      </w:r>
      <w:r w:rsidR="00DD18AC">
        <w:rPr>
          <w:sz w:val="20"/>
          <w:szCs w:val="20"/>
        </w:rPr>
        <w:t xml:space="preserve">In this contribution, we </w:t>
      </w:r>
      <w:r w:rsidR="00281AB7">
        <w:rPr>
          <w:sz w:val="20"/>
          <w:szCs w:val="20"/>
        </w:rPr>
        <w:t>seek to have a common understanding of the scope by sharing our views and collect other companies’ views.</w:t>
      </w:r>
      <w:r w:rsidR="004C21DF">
        <w:rPr>
          <w:sz w:val="20"/>
          <w:szCs w:val="20"/>
        </w:rPr>
        <w:t xml:space="preserve"> </w:t>
      </w:r>
    </w:p>
    <w:p w14:paraId="42E3FB41" w14:textId="5877308A" w:rsidR="004C5265" w:rsidRPr="005037D3" w:rsidRDefault="008E7986" w:rsidP="005037D3">
      <w:pPr>
        <w:pStyle w:val="Heading1"/>
      </w:pPr>
      <w:r>
        <w:t>2</w:t>
      </w:r>
      <w:r>
        <w:tab/>
      </w:r>
      <w:r w:rsidR="0077432F">
        <w:t>Discussion</w:t>
      </w:r>
    </w:p>
    <w:p w14:paraId="1CD71353" w14:textId="77777777" w:rsidR="00F24231" w:rsidRDefault="00F24231" w:rsidP="00B10171">
      <w:pPr>
        <w:autoSpaceDE w:val="0"/>
        <w:autoSpaceDN w:val="0"/>
        <w:adjustRightInd w:val="0"/>
        <w:jc w:val="both"/>
        <w:rPr>
          <w:color w:val="000000"/>
          <w:sz w:val="20"/>
          <w:szCs w:val="20"/>
        </w:rPr>
      </w:pPr>
      <w:r>
        <w:rPr>
          <w:color w:val="000000"/>
          <w:sz w:val="20"/>
          <w:szCs w:val="20"/>
          <w:lang w:val="en-GB"/>
        </w:rPr>
        <w:t>T</w:t>
      </w:r>
      <w:r>
        <w:rPr>
          <w:color w:val="000000"/>
          <w:sz w:val="20"/>
          <w:szCs w:val="20"/>
        </w:rPr>
        <w:t>he endorsed WF includes the following scope:</w:t>
      </w:r>
    </w:p>
    <w:p w14:paraId="4AE48292" w14:textId="77777777" w:rsidR="00F24231" w:rsidRDefault="00F24231" w:rsidP="00B10171">
      <w:pPr>
        <w:autoSpaceDE w:val="0"/>
        <w:autoSpaceDN w:val="0"/>
        <w:adjustRightInd w:val="0"/>
        <w:jc w:val="both"/>
        <w:rPr>
          <w:color w:val="000000"/>
          <w:sz w:val="20"/>
          <w:szCs w:val="20"/>
        </w:rPr>
      </w:pPr>
    </w:p>
    <w:p w14:paraId="1FF9EB53" w14:textId="2BDEA57A" w:rsidR="00F24231" w:rsidRDefault="00F24231" w:rsidP="00B10171">
      <w:pPr>
        <w:autoSpaceDE w:val="0"/>
        <w:autoSpaceDN w:val="0"/>
        <w:adjustRightInd w:val="0"/>
        <w:jc w:val="both"/>
        <w:rPr>
          <w:color w:val="000000"/>
          <w:sz w:val="20"/>
          <w:szCs w:val="20"/>
        </w:rPr>
      </w:pPr>
      <w:r w:rsidRPr="00F24231">
        <w:rPr>
          <w:noProof/>
          <w:color w:val="000000"/>
          <w:sz w:val="20"/>
          <w:szCs w:val="20"/>
        </w:rPr>
        <w:drawing>
          <wp:inline distT="0" distB="0" distL="0" distR="0" wp14:anchorId="177F066D" wp14:editId="3951A9A1">
            <wp:extent cx="6122035" cy="2519680"/>
            <wp:effectExtent l="0" t="0" r="0" b="0"/>
            <wp:docPr id="1806352868" name="Picture 1" descr="A close-up of a computer err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6352868" name="Picture 1" descr="A close-up of a computer error&#10;&#10;Description automatically generated"/>
                    <pic:cNvPicPr/>
                  </pic:nvPicPr>
                  <pic:blipFill>
                    <a:blip r:embed="rId9"/>
                    <a:stretch>
                      <a:fillRect/>
                    </a:stretch>
                  </pic:blipFill>
                  <pic:spPr>
                    <a:xfrm>
                      <a:off x="0" y="0"/>
                      <a:ext cx="6122035" cy="2519680"/>
                    </a:xfrm>
                    <a:prstGeom prst="rect">
                      <a:avLst/>
                    </a:prstGeom>
                  </pic:spPr>
                </pic:pic>
              </a:graphicData>
            </a:graphic>
          </wp:inline>
        </w:drawing>
      </w:r>
    </w:p>
    <w:p w14:paraId="7C594086" w14:textId="77777777" w:rsidR="00F24231" w:rsidRDefault="00F24231" w:rsidP="00B10171">
      <w:pPr>
        <w:autoSpaceDE w:val="0"/>
        <w:autoSpaceDN w:val="0"/>
        <w:adjustRightInd w:val="0"/>
        <w:jc w:val="both"/>
        <w:rPr>
          <w:b/>
          <w:bCs/>
          <w:color w:val="000000"/>
          <w:sz w:val="20"/>
          <w:szCs w:val="20"/>
          <w:u w:val="single"/>
        </w:rPr>
      </w:pPr>
    </w:p>
    <w:p w14:paraId="33B9471D" w14:textId="299BE670" w:rsidR="003107C2" w:rsidRPr="00F24231" w:rsidRDefault="00F24231" w:rsidP="00B10171">
      <w:pPr>
        <w:autoSpaceDE w:val="0"/>
        <w:autoSpaceDN w:val="0"/>
        <w:adjustRightInd w:val="0"/>
        <w:jc w:val="both"/>
        <w:rPr>
          <w:b/>
          <w:bCs/>
          <w:color w:val="000000"/>
          <w:sz w:val="20"/>
          <w:szCs w:val="20"/>
          <w:u w:val="single"/>
        </w:rPr>
      </w:pPr>
      <w:r w:rsidRPr="00F24231">
        <w:rPr>
          <w:b/>
          <w:bCs/>
          <w:color w:val="000000"/>
          <w:sz w:val="20"/>
          <w:szCs w:val="20"/>
          <w:u w:val="single"/>
        </w:rPr>
        <w:t>Reducing number of R</w:t>
      </w:r>
      <w:r w:rsidR="00771937">
        <w:rPr>
          <w:b/>
          <w:bCs/>
          <w:color w:val="000000"/>
          <w:sz w:val="20"/>
          <w:szCs w:val="20"/>
          <w:u w:val="single"/>
        </w:rPr>
        <w:t>x</w:t>
      </w:r>
      <w:r w:rsidRPr="00F24231">
        <w:rPr>
          <w:b/>
          <w:bCs/>
          <w:color w:val="000000"/>
          <w:sz w:val="20"/>
          <w:szCs w:val="20"/>
          <w:u w:val="single"/>
        </w:rPr>
        <w:t xml:space="preserve"> chains</w:t>
      </w:r>
    </w:p>
    <w:p w14:paraId="55011C93" w14:textId="77777777" w:rsidR="00F04A63" w:rsidRPr="00F04A63" w:rsidRDefault="00F04A63" w:rsidP="00B10171">
      <w:pPr>
        <w:autoSpaceDE w:val="0"/>
        <w:autoSpaceDN w:val="0"/>
        <w:adjustRightInd w:val="0"/>
        <w:jc w:val="both"/>
        <w:rPr>
          <w:b/>
          <w:bCs/>
          <w:color w:val="000000"/>
          <w:sz w:val="20"/>
          <w:szCs w:val="20"/>
        </w:rPr>
      </w:pPr>
    </w:p>
    <w:p w14:paraId="1CD483CF" w14:textId="5B2B387B" w:rsidR="00771937" w:rsidRDefault="00F24231" w:rsidP="00B10171">
      <w:pPr>
        <w:autoSpaceDE w:val="0"/>
        <w:autoSpaceDN w:val="0"/>
        <w:adjustRightInd w:val="0"/>
        <w:jc w:val="both"/>
        <w:rPr>
          <w:color w:val="000000"/>
          <w:sz w:val="20"/>
          <w:szCs w:val="20"/>
        </w:rPr>
      </w:pPr>
      <w:r>
        <w:rPr>
          <w:color w:val="000000"/>
          <w:sz w:val="20"/>
          <w:szCs w:val="20"/>
        </w:rPr>
        <w:t>In the statement “</w:t>
      </w:r>
      <w:r w:rsidRPr="00F24231">
        <w:rPr>
          <w:color w:val="000000"/>
          <w:sz w:val="20"/>
          <w:szCs w:val="20"/>
        </w:rPr>
        <w:t>Identify methods for reducing number of UE Rx chains (e.g. 1 or 2) needed for single DL band of ≤ 100 MHz (frequency span) containing two non-contiguous CCs within a CA combination for the inter-operator co-located scenario</w:t>
      </w:r>
      <w:r>
        <w:rPr>
          <w:color w:val="000000"/>
          <w:sz w:val="20"/>
          <w:szCs w:val="20"/>
        </w:rPr>
        <w:t>,” there may be different understanding as to what UE Rx chains (</w:t>
      </w:r>
      <w:r w:rsidRPr="00F24231">
        <w:rPr>
          <w:color w:val="000000"/>
          <w:sz w:val="20"/>
          <w:szCs w:val="20"/>
        </w:rPr>
        <w:t>e.g. 1 or 2</w:t>
      </w:r>
      <w:r>
        <w:rPr>
          <w:color w:val="000000"/>
          <w:sz w:val="20"/>
          <w:szCs w:val="20"/>
        </w:rPr>
        <w:t xml:space="preserve">) means. </w:t>
      </w:r>
      <w:r w:rsidR="00771937">
        <w:rPr>
          <w:color w:val="000000"/>
          <w:sz w:val="20"/>
          <w:szCs w:val="20"/>
        </w:rPr>
        <w:t xml:space="preserve">For a UE with 2Rx (i.e., one main Rx and one diversity Rx), typical implementation to support </w:t>
      </w:r>
      <w:r w:rsidR="00771937" w:rsidRPr="00F24231">
        <w:rPr>
          <w:color w:val="000000"/>
          <w:sz w:val="20"/>
          <w:szCs w:val="20"/>
        </w:rPr>
        <w:t>two non-contiguous CCs</w:t>
      </w:r>
      <w:r w:rsidR="00771937">
        <w:rPr>
          <w:color w:val="000000"/>
          <w:sz w:val="20"/>
          <w:szCs w:val="20"/>
        </w:rPr>
        <w:t xml:space="preserve"> is to use two sets of Rx chains, with each set consisting of one main Rx and one diversity Rx. </w:t>
      </w:r>
      <w:r>
        <w:rPr>
          <w:color w:val="000000"/>
          <w:sz w:val="20"/>
          <w:szCs w:val="20"/>
        </w:rPr>
        <w:t xml:space="preserve">From the discussion </w:t>
      </w:r>
      <w:r w:rsidR="00771937">
        <w:rPr>
          <w:color w:val="000000"/>
          <w:sz w:val="20"/>
          <w:szCs w:val="20"/>
        </w:rPr>
        <w:t xml:space="preserve">at last RAN meeting, we believe the common understanding is to reduce the two sets of Rx chains to one set of Rx chains, or loosely speaking, to change the RF configuration from </w:t>
      </w:r>
      <w:r w:rsidR="00125033">
        <w:rPr>
          <w:color w:val="000000"/>
          <w:sz w:val="20"/>
          <w:szCs w:val="20"/>
        </w:rPr>
        <w:t xml:space="preserve">separate RF chains to </w:t>
      </w:r>
      <w:r w:rsidR="00771937">
        <w:rPr>
          <w:color w:val="000000"/>
          <w:sz w:val="20"/>
          <w:szCs w:val="20"/>
        </w:rPr>
        <w:t>common RF chains</w:t>
      </w:r>
      <w:r w:rsidR="00125033">
        <w:rPr>
          <w:color w:val="000000"/>
          <w:sz w:val="20"/>
          <w:szCs w:val="20"/>
        </w:rPr>
        <w:t xml:space="preserve"> in supporting in</w:t>
      </w:r>
      <w:r w:rsidR="00F82261">
        <w:rPr>
          <w:color w:val="000000"/>
          <w:sz w:val="20"/>
          <w:szCs w:val="20"/>
        </w:rPr>
        <w:t>t</w:t>
      </w:r>
      <w:r w:rsidR="00125033">
        <w:rPr>
          <w:color w:val="000000"/>
          <w:sz w:val="20"/>
          <w:szCs w:val="20"/>
        </w:rPr>
        <w:t>ra-band non-contiguous CA</w:t>
      </w:r>
      <w:r w:rsidR="00BA1B6A">
        <w:rPr>
          <w:color w:val="000000"/>
          <w:sz w:val="20"/>
          <w:szCs w:val="20"/>
        </w:rPr>
        <w:t xml:space="preserve">, when the side conditions including the interference levels </w:t>
      </w:r>
      <w:r w:rsidR="00756E2A">
        <w:rPr>
          <w:color w:val="000000"/>
          <w:sz w:val="20"/>
          <w:szCs w:val="20"/>
        </w:rPr>
        <w:t>permit such reduction.</w:t>
      </w:r>
      <w:r>
        <w:rPr>
          <w:color w:val="000000"/>
          <w:sz w:val="20"/>
          <w:szCs w:val="20"/>
        </w:rPr>
        <w:t xml:space="preserve"> </w:t>
      </w:r>
    </w:p>
    <w:p w14:paraId="200A1247" w14:textId="77777777" w:rsidR="00771937" w:rsidRDefault="00771937" w:rsidP="00B10171">
      <w:pPr>
        <w:autoSpaceDE w:val="0"/>
        <w:autoSpaceDN w:val="0"/>
        <w:adjustRightInd w:val="0"/>
        <w:jc w:val="both"/>
        <w:rPr>
          <w:color w:val="000000"/>
          <w:sz w:val="20"/>
          <w:szCs w:val="20"/>
        </w:rPr>
      </w:pPr>
    </w:p>
    <w:p w14:paraId="11ACE06E" w14:textId="70311ACD" w:rsidR="00771937" w:rsidRDefault="00771937" w:rsidP="00771937">
      <w:pPr>
        <w:spacing w:before="100" w:beforeAutospacing="1" w:after="100"/>
        <w:rPr>
          <w:b/>
          <w:bCs/>
          <w:i/>
          <w:iCs/>
          <w:sz w:val="20"/>
          <w:szCs w:val="20"/>
        </w:rPr>
      </w:pPr>
      <w:r w:rsidRPr="004E0E90">
        <w:rPr>
          <w:b/>
          <w:bCs/>
          <w:i/>
          <w:iCs/>
          <w:sz w:val="20"/>
          <w:szCs w:val="20"/>
        </w:rPr>
        <w:t xml:space="preserve">Proposal 1: </w:t>
      </w:r>
      <w:r w:rsidR="00BA1B6A">
        <w:rPr>
          <w:b/>
          <w:bCs/>
          <w:i/>
          <w:iCs/>
          <w:sz w:val="20"/>
          <w:szCs w:val="20"/>
        </w:rPr>
        <w:t>To avoid any ambiguity, i</w:t>
      </w:r>
      <w:r>
        <w:rPr>
          <w:b/>
          <w:bCs/>
          <w:i/>
          <w:iCs/>
          <w:sz w:val="20"/>
          <w:szCs w:val="20"/>
        </w:rPr>
        <w:t xml:space="preserve">t is proposed to change the wording </w:t>
      </w:r>
      <w:r w:rsidR="00BA1B6A">
        <w:rPr>
          <w:b/>
          <w:bCs/>
          <w:i/>
          <w:iCs/>
          <w:sz w:val="20"/>
          <w:szCs w:val="20"/>
        </w:rPr>
        <w:t xml:space="preserve">from </w:t>
      </w:r>
      <w:r w:rsidR="00756E2A" w:rsidRPr="00756E2A">
        <w:rPr>
          <w:b/>
          <w:bCs/>
          <w:i/>
          <w:iCs/>
          <w:sz w:val="20"/>
          <w:szCs w:val="20"/>
        </w:rPr>
        <w:t xml:space="preserve">“Identify methods for reducing number of UE Rx chains (e.g. 1 or 2) needed for single DL band of ≤ 100 MHz (frequency span) containing two </w:t>
      </w:r>
      <w:r w:rsidR="00756E2A" w:rsidRPr="00756E2A">
        <w:rPr>
          <w:b/>
          <w:bCs/>
          <w:i/>
          <w:iCs/>
          <w:sz w:val="20"/>
          <w:szCs w:val="20"/>
        </w:rPr>
        <w:lastRenderedPageBreak/>
        <w:t>non-contiguous CCs within a CA combination for the inter-operator co-located scenario”</w:t>
      </w:r>
      <w:r w:rsidR="00756E2A">
        <w:rPr>
          <w:b/>
          <w:bCs/>
          <w:i/>
          <w:iCs/>
          <w:sz w:val="20"/>
          <w:szCs w:val="20"/>
        </w:rPr>
        <w:t xml:space="preserve"> to </w:t>
      </w:r>
      <w:r w:rsidR="00756E2A" w:rsidRPr="00756E2A">
        <w:rPr>
          <w:b/>
          <w:bCs/>
          <w:i/>
          <w:iCs/>
          <w:sz w:val="20"/>
          <w:szCs w:val="20"/>
        </w:rPr>
        <w:t xml:space="preserve">“Identify methods for reducing </w:t>
      </w:r>
      <w:r w:rsidR="00756E2A">
        <w:rPr>
          <w:b/>
          <w:bCs/>
          <w:i/>
          <w:iCs/>
          <w:sz w:val="20"/>
          <w:szCs w:val="20"/>
        </w:rPr>
        <w:t xml:space="preserve">sets </w:t>
      </w:r>
      <w:r w:rsidR="00756E2A" w:rsidRPr="00756E2A">
        <w:rPr>
          <w:b/>
          <w:bCs/>
          <w:i/>
          <w:iCs/>
          <w:sz w:val="20"/>
          <w:szCs w:val="20"/>
        </w:rPr>
        <w:t xml:space="preserve">of UE Rx chains (e.g. </w:t>
      </w:r>
      <w:r w:rsidR="00756E2A">
        <w:rPr>
          <w:b/>
          <w:bCs/>
          <w:i/>
          <w:iCs/>
          <w:sz w:val="20"/>
          <w:szCs w:val="20"/>
        </w:rPr>
        <w:t xml:space="preserve">from 2 sets to </w:t>
      </w:r>
      <w:r w:rsidR="00756E2A" w:rsidRPr="00756E2A">
        <w:rPr>
          <w:b/>
          <w:bCs/>
          <w:i/>
          <w:iCs/>
          <w:sz w:val="20"/>
          <w:szCs w:val="20"/>
        </w:rPr>
        <w:t xml:space="preserve">1 </w:t>
      </w:r>
      <w:r w:rsidR="00756E2A">
        <w:rPr>
          <w:b/>
          <w:bCs/>
          <w:i/>
          <w:iCs/>
          <w:sz w:val="20"/>
          <w:szCs w:val="20"/>
        </w:rPr>
        <w:t xml:space="preserve">set, where 1 set of Rx chains consists of </w:t>
      </w:r>
      <w:r w:rsidR="00756E2A" w:rsidRPr="00756E2A">
        <w:rPr>
          <w:b/>
          <w:bCs/>
          <w:i/>
          <w:iCs/>
          <w:sz w:val="20"/>
          <w:szCs w:val="20"/>
        </w:rPr>
        <w:t>one main Rx and one diversity Rx</w:t>
      </w:r>
      <w:r w:rsidR="00756E2A">
        <w:rPr>
          <w:b/>
          <w:bCs/>
          <w:i/>
          <w:iCs/>
          <w:sz w:val="20"/>
          <w:szCs w:val="20"/>
        </w:rPr>
        <w:t xml:space="preserve"> for a UE with 2Rx </w:t>
      </w:r>
      <w:r w:rsidR="00756E2A" w:rsidRPr="00756E2A">
        <w:rPr>
          <w:b/>
          <w:bCs/>
          <w:i/>
          <w:iCs/>
          <w:sz w:val="20"/>
          <w:szCs w:val="20"/>
        </w:rPr>
        <w:t>) needed for single DL band of ≤ 100 MHz (frequency span) containing two non-contiguous CCs within a CA combination for the inter-operator co-located scenario</w:t>
      </w:r>
      <w:r w:rsidR="00756E2A">
        <w:rPr>
          <w:b/>
          <w:bCs/>
          <w:i/>
          <w:iCs/>
          <w:sz w:val="20"/>
          <w:szCs w:val="20"/>
        </w:rPr>
        <w:t>.</w:t>
      </w:r>
      <w:r w:rsidR="00756E2A" w:rsidRPr="00756E2A">
        <w:rPr>
          <w:b/>
          <w:bCs/>
          <w:i/>
          <w:iCs/>
          <w:sz w:val="20"/>
          <w:szCs w:val="20"/>
        </w:rPr>
        <w:t>”</w:t>
      </w:r>
    </w:p>
    <w:p w14:paraId="1AE33D40" w14:textId="1AB172D4" w:rsidR="004E7F50" w:rsidRDefault="004E7F50" w:rsidP="00B10171">
      <w:pPr>
        <w:autoSpaceDE w:val="0"/>
        <w:autoSpaceDN w:val="0"/>
        <w:adjustRightInd w:val="0"/>
        <w:jc w:val="both"/>
        <w:rPr>
          <w:color w:val="000000"/>
          <w:sz w:val="20"/>
          <w:szCs w:val="20"/>
        </w:rPr>
      </w:pPr>
    </w:p>
    <w:p w14:paraId="10D6F51A" w14:textId="35A085B1" w:rsidR="00F04A63" w:rsidRPr="006A1291" w:rsidRDefault="00F94A52" w:rsidP="00F04A63">
      <w:pPr>
        <w:autoSpaceDE w:val="0"/>
        <w:autoSpaceDN w:val="0"/>
        <w:adjustRightInd w:val="0"/>
        <w:jc w:val="both"/>
        <w:rPr>
          <w:b/>
          <w:bCs/>
          <w:color w:val="000000"/>
          <w:sz w:val="20"/>
          <w:szCs w:val="20"/>
          <w:u w:val="single"/>
        </w:rPr>
      </w:pPr>
      <w:r w:rsidRPr="006A1291">
        <w:rPr>
          <w:b/>
          <w:bCs/>
          <w:color w:val="000000"/>
          <w:sz w:val="20"/>
          <w:szCs w:val="20"/>
          <w:u w:val="single"/>
        </w:rPr>
        <w:t xml:space="preserve">RF requirement </w:t>
      </w:r>
      <w:r w:rsidR="006A1291" w:rsidRPr="006A1291">
        <w:rPr>
          <w:b/>
          <w:bCs/>
          <w:color w:val="000000"/>
          <w:sz w:val="20"/>
          <w:szCs w:val="20"/>
          <w:u w:val="single"/>
        </w:rPr>
        <w:t>implication</w:t>
      </w:r>
    </w:p>
    <w:p w14:paraId="2851E538" w14:textId="77777777" w:rsidR="00BA76F9" w:rsidRDefault="00BA76F9" w:rsidP="00F04A63">
      <w:pPr>
        <w:autoSpaceDE w:val="0"/>
        <w:autoSpaceDN w:val="0"/>
        <w:adjustRightInd w:val="0"/>
        <w:jc w:val="both"/>
        <w:rPr>
          <w:color w:val="000000"/>
          <w:sz w:val="20"/>
          <w:szCs w:val="20"/>
        </w:rPr>
      </w:pPr>
    </w:p>
    <w:p w14:paraId="1ED8F41D" w14:textId="3AA5B410" w:rsidR="00F04A63" w:rsidRDefault="00BA76F9" w:rsidP="00F04A63">
      <w:pPr>
        <w:autoSpaceDE w:val="0"/>
        <w:autoSpaceDN w:val="0"/>
        <w:adjustRightInd w:val="0"/>
        <w:jc w:val="both"/>
        <w:rPr>
          <w:color w:val="000000"/>
          <w:sz w:val="20"/>
          <w:szCs w:val="20"/>
        </w:rPr>
      </w:pPr>
      <w:r>
        <w:rPr>
          <w:color w:val="000000"/>
          <w:sz w:val="20"/>
          <w:szCs w:val="20"/>
        </w:rPr>
        <w:t>Let us use the following figure to discuss, where there are two non-contiguous CCs, CC1 (25MHz) and CC2 (15MHz), and a blocker in the gap of 10MHz</w:t>
      </w:r>
      <w:r w:rsidR="006C043F">
        <w:rPr>
          <w:color w:val="000000"/>
          <w:sz w:val="20"/>
          <w:szCs w:val="20"/>
        </w:rPr>
        <w:t>, in line with the n25 fragmented spectrum in Toronto [1].</w:t>
      </w:r>
    </w:p>
    <w:p w14:paraId="38BD285F" w14:textId="77777777" w:rsidR="008F6E7F" w:rsidRDefault="008F6E7F" w:rsidP="00F04A63">
      <w:pPr>
        <w:autoSpaceDE w:val="0"/>
        <w:autoSpaceDN w:val="0"/>
        <w:adjustRightInd w:val="0"/>
        <w:jc w:val="both"/>
        <w:rPr>
          <w:color w:val="000000"/>
          <w:sz w:val="20"/>
          <w:szCs w:val="20"/>
        </w:rPr>
      </w:pPr>
    </w:p>
    <w:p w14:paraId="04E58D00" w14:textId="30276DF5" w:rsidR="008F6E7F" w:rsidRPr="008F6E7F" w:rsidRDefault="00A241A7" w:rsidP="00A241A7">
      <w:pPr>
        <w:autoSpaceDE w:val="0"/>
        <w:autoSpaceDN w:val="0"/>
        <w:adjustRightInd w:val="0"/>
        <w:jc w:val="center"/>
        <w:rPr>
          <w:b/>
          <w:bCs/>
          <w:color w:val="000000"/>
          <w:sz w:val="20"/>
          <w:szCs w:val="20"/>
        </w:rPr>
      </w:pPr>
      <w:r w:rsidRPr="00A241A7">
        <w:rPr>
          <w:b/>
          <w:bCs/>
          <w:noProof/>
          <w:color w:val="000000"/>
          <w:sz w:val="20"/>
          <w:szCs w:val="20"/>
        </w:rPr>
        <w:drawing>
          <wp:inline distT="0" distB="0" distL="0" distR="0" wp14:anchorId="73B22831" wp14:editId="6634D75C">
            <wp:extent cx="2834640" cy="2299562"/>
            <wp:effectExtent l="0" t="0" r="0" b="0"/>
            <wp:docPr id="57824063" name="Picture 1" descr="A red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824063" name="Picture 1" descr="A red rectangular object with black text&#10;&#10;Description automatically generated"/>
                    <pic:cNvPicPr/>
                  </pic:nvPicPr>
                  <pic:blipFill>
                    <a:blip r:embed="rId10"/>
                    <a:stretch>
                      <a:fillRect/>
                    </a:stretch>
                  </pic:blipFill>
                  <pic:spPr>
                    <a:xfrm>
                      <a:off x="0" y="0"/>
                      <a:ext cx="2862068" cy="2321812"/>
                    </a:xfrm>
                    <a:prstGeom prst="rect">
                      <a:avLst/>
                    </a:prstGeom>
                  </pic:spPr>
                </pic:pic>
              </a:graphicData>
            </a:graphic>
          </wp:inline>
        </w:drawing>
      </w:r>
    </w:p>
    <w:p w14:paraId="54DC7EEA" w14:textId="77777777" w:rsidR="008F6E7F" w:rsidRDefault="008F6E7F" w:rsidP="00F04A63">
      <w:pPr>
        <w:autoSpaceDE w:val="0"/>
        <w:autoSpaceDN w:val="0"/>
        <w:adjustRightInd w:val="0"/>
        <w:jc w:val="both"/>
        <w:rPr>
          <w:color w:val="000000"/>
          <w:sz w:val="20"/>
          <w:szCs w:val="20"/>
        </w:rPr>
      </w:pPr>
    </w:p>
    <w:p w14:paraId="7A65A48F" w14:textId="77777777" w:rsidR="000528BC" w:rsidRDefault="000528BC" w:rsidP="00F04A63">
      <w:pPr>
        <w:autoSpaceDE w:val="0"/>
        <w:autoSpaceDN w:val="0"/>
        <w:adjustRightInd w:val="0"/>
        <w:jc w:val="both"/>
        <w:rPr>
          <w:color w:val="000000"/>
          <w:sz w:val="20"/>
          <w:szCs w:val="20"/>
        </w:rPr>
      </w:pPr>
    </w:p>
    <w:p w14:paraId="26B4FBEA" w14:textId="77777777" w:rsidR="00285094" w:rsidRDefault="00BA76F9" w:rsidP="00F04A63">
      <w:pPr>
        <w:autoSpaceDE w:val="0"/>
        <w:autoSpaceDN w:val="0"/>
        <w:adjustRightInd w:val="0"/>
        <w:jc w:val="both"/>
        <w:rPr>
          <w:color w:val="000000"/>
          <w:sz w:val="20"/>
          <w:szCs w:val="20"/>
        </w:rPr>
      </w:pPr>
      <w:r>
        <w:rPr>
          <w:color w:val="000000"/>
          <w:sz w:val="20"/>
          <w:szCs w:val="20"/>
        </w:rPr>
        <w:t xml:space="preserve">For the power imbalance between CC1 and CC2 from the same operator, it was agreed that the power imbalance is up to 6dB. However, the power imbalance between the blocker and CC1/CC2 was not explicitly specified, although </w:t>
      </w:r>
      <w:r w:rsidR="00917D25">
        <w:rPr>
          <w:color w:val="000000"/>
          <w:sz w:val="20"/>
          <w:szCs w:val="20"/>
        </w:rPr>
        <w:t>i</w:t>
      </w:r>
      <w:r>
        <w:rPr>
          <w:color w:val="000000"/>
          <w:sz w:val="20"/>
          <w:szCs w:val="20"/>
        </w:rPr>
        <w:t>t was agreed to focus on inter-operator co-located scenario</w:t>
      </w:r>
      <w:r w:rsidR="00285094">
        <w:rPr>
          <w:color w:val="000000"/>
          <w:sz w:val="20"/>
          <w:szCs w:val="20"/>
        </w:rPr>
        <w:t xml:space="preserve">, where </w:t>
      </w:r>
      <w:r w:rsidR="00917D25">
        <w:rPr>
          <w:color w:val="000000"/>
          <w:sz w:val="20"/>
          <w:szCs w:val="20"/>
        </w:rPr>
        <w:t>there</w:t>
      </w:r>
      <w:r>
        <w:rPr>
          <w:color w:val="000000"/>
          <w:sz w:val="20"/>
          <w:szCs w:val="20"/>
        </w:rPr>
        <w:t xml:space="preserve"> is expected to be some limit on the power difference</w:t>
      </w:r>
      <w:r w:rsidR="00285094">
        <w:rPr>
          <w:color w:val="000000"/>
          <w:sz w:val="20"/>
          <w:szCs w:val="20"/>
        </w:rPr>
        <w:t xml:space="preserve"> between the blocker and CC1/CC2</w:t>
      </w:r>
      <w:r w:rsidR="00917D25">
        <w:rPr>
          <w:color w:val="000000"/>
          <w:sz w:val="20"/>
          <w:szCs w:val="20"/>
        </w:rPr>
        <w:t xml:space="preserve">. </w:t>
      </w:r>
      <w:r>
        <w:rPr>
          <w:color w:val="000000"/>
          <w:sz w:val="20"/>
          <w:szCs w:val="20"/>
        </w:rPr>
        <w:t xml:space="preserve">However, the </w:t>
      </w:r>
      <w:r w:rsidR="00917D25">
        <w:rPr>
          <w:color w:val="000000"/>
          <w:sz w:val="20"/>
          <w:szCs w:val="20"/>
        </w:rPr>
        <w:t xml:space="preserve">maximum </w:t>
      </w:r>
      <w:r>
        <w:rPr>
          <w:color w:val="000000"/>
          <w:sz w:val="20"/>
          <w:szCs w:val="20"/>
        </w:rPr>
        <w:t xml:space="preserve">value of the power difference </w:t>
      </w:r>
      <w:r w:rsidR="00285094">
        <w:rPr>
          <w:color w:val="000000"/>
          <w:sz w:val="20"/>
          <w:szCs w:val="20"/>
        </w:rPr>
        <w:t>needs</w:t>
      </w:r>
      <w:r>
        <w:rPr>
          <w:color w:val="000000"/>
          <w:sz w:val="20"/>
          <w:szCs w:val="20"/>
        </w:rPr>
        <w:t xml:space="preserve"> to be discussed.</w:t>
      </w:r>
      <w:r w:rsidR="00917D25">
        <w:rPr>
          <w:color w:val="000000"/>
          <w:sz w:val="20"/>
          <w:szCs w:val="20"/>
        </w:rPr>
        <w:t xml:space="preserve"> </w:t>
      </w:r>
    </w:p>
    <w:p w14:paraId="5A63DD6C" w14:textId="77777777" w:rsidR="00285094" w:rsidRDefault="00285094" w:rsidP="00F04A63">
      <w:pPr>
        <w:autoSpaceDE w:val="0"/>
        <w:autoSpaceDN w:val="0"/>
        <w:adjustRightInd w:val="0"/>
        <w:jc w:val="both"/>
        <w:rPr>
          <w:color w:val="000000"/>
          <w:sz w:val="20"/>
          <w:szCs w:val="20"/>
        </w:rPr>
      </w:pPr>
    </w:p>
    <w:p w14:paraId="011611A8" w14:textId="22BA743E" w:rsidR="00BA76F9" w:rsidRDefault="00917D25" w:rsidP="00F04A63">
      <w:pPr>
        <w:autoSpaceDE w:val="0"/>
        <w:autoSpaceDN w:val="0"/>
        <w:adjustRightInd w:val="0"/>
        <w:jc w:val="both"/>
        <w:rPr>
          <w:color w:val="000000"/>
          <w:sz w:val="20"/>
          <w:szCs w:val="20"/>
        </w:rPr>
      </w:pPr>
      <w:r>
        <w:rPr>
          <w:color w:val="000000"/>
          <w:sz w:val="20"/>
          <w:szCs w:val="20"/>
        </w:rPr>
        <w:t xml:space="preserve">If we assume there is again 6dB difference, the same as </w:t>
      </w:r>
      <w:r w:rsidR="005F22A6">
        <w:rPr>
          <w:color w:val="000000"/>
          <w:sz w:val="20"/>
          <w:szCs w:val="20"/>
        </w:rPr>
        <w:t>the power difference</w:t>
      </w:r>
      <w:r>
        <w:rPr>
          <w:color w:val="000000"/>
          <w:sz w:val="20"/>
          <w:szCs w:val="20"/>
        </w:rPr>
        <w:t xml:space="preserve"> between CC1 and CC2 from the same operator, it is still a bit unclear if it means that the maximum power difference between the blocker and the lower power CC, i.e., CC2, could be 12dB</w:t>
      </w:r>
      <w:r w:rsidR="006C043F">
        <w:rPr>
          <w:color w:val="000000"/>
          <w:sz w:val="20"/>
          <w:szCs w:val="20"/>
        </w:rPr>
        <w:t>, which might be high for the UE to use common R</w:t>
      </w:r>
      <w:r w:rsidR="006D11F6">
        <w:rPr>
          <w:color w:val="000000"/>
          <w:sz w:val="20"/>
          <w:szCs w:val="20"/>
        </w:rPr>
        <w:t>x</w:t>
      </w:r>
      <w:r w:rsidR="006C043F">
        <w:rPr>
          <w:color w:val="000000"/>
          <w:sz w:val="20"/>
          <w:szCs w:val="20"/>
        </w:rPr>
        <w:t xml:space="preserve"> chains to handle</w:t>
      </w:r>
      <w:r w:rsidR="005F22A6">
        <w:rPr>
          <w:color w:val="000000"/>
          <w:sz w:val="20"/>
          <w:szCs w:val="20"/>
        </w:rPr>
        <w:t xml:space="preserve"> </w:t>
      </w:r>
      <w:r w:rsidR="006C043F">
        <w:rPr>
          <w:color w:val="000000"/>
          <w:sz w:val="20"/>
          <w:szCs w:val="20"/>
        </w:rPr>
        <w:t>given no rejection of the blocker before ADC.</w:t>
      </w:r>
    </w:p>
    <w:p w14:paraId="3B124F54" w14:textId="5A1C9DFE" w:rsidR="006C043F" w:rsidRDefault="006C043F" w:rsidP="00F04A63">
      <w:pPr>
        <w:autoSpaceDE w:val="0"/>
        <w:autoSpaceDN w:val="0"/>
        <w:adjustRightInd w:val="0"/>
        <w:jc w:val="both"/>
        <w:rPr>
          <w:color w:val="000000"/>
          <w:sz w:val="20"/>
          <w:szCs w:val="20"/>
        </w:rPr>
      </w:pPr>
    </w:p>
    <w:p w14:paraId="11B48E4B" w14:textId="4A4D8A28" w:rsidR="006C043F" w:rsidRDefault="00455635" w:rsidP="00F04A63">
      <w:pPr>
        <w:autoSpaceDE w:val="0"/>
        <w:autoSpaceDN w:val="0"/>
        <w:adjustRightInd w:val="0"/>
        <w:jc w:val="both"/>
        <w:rPr>
          <w:color w:val="000000"/>
          <w:sz w:val="20"/>
          <w:szCs w:val="20"/>
        </w:rPr>
      </w:pPr>
      <w:r>
        <w:rPr>
          <w:color w:val="000000"/>
          <w:sz w:val="20"/>
          <w:szCs w:val="20"/>
        </w:rPr>
        <w:t xml:space="preserve">Current ACS requirements for </w:t>
      </w:r>
      <w:r w:rsidR="002A4E8C">
        <w:rPr>
          <w:color w:val="000000"/>
          <w:sz w:val="20"/>
          <w:szCs w:val="20"/>
        </w:rPr>
        <w:t xml:space="preserve">intra-band non-contiguous </w:t>
      </w:r>
      <w:r>
        <w:rPr>
          <w:color w:val="000000"/>
          <w:sz w:val="20"/>
          <w:szCs w:val="20"/>
        </w:rPr>
        <w:t>CA</w:t>
      </w:r>
      <w:r w:rsidR="000A6245">
        <w:rPr>
          <w:color w:val="000000"/>
          <w:sz w:val="20"/>
          <w:szCs w:val="20"/>
        </w:rPr>
        <w:t xml:space="preserve"> </w:t>
      </w:r>
      <w:r w:rsidR="000D7878">
        <w:rPr>
          <w:color w:val="000000"/>
          <w:sz w:val="20"/>
          <w:szCs w:val="20"/>
        </w:rPr>
        <w:t>assume</w:t>
      </w:r>
      <w:r w:rsidR="000A6245">
        <w:rPr>
          <w:color w:val="000000"/>
          <w:sz w:val="20"/>
          <w:szCs w:val="20"/>
        </w:rPr>
        <w:t xml:space="preserve"> that UE uses separate Rx chains.</w:t>
      </w:r>
      <w:r>
        <w:rPr>
          <w:color w:val="000000"/>
          <w:sz w:val="20"/>
          <w:szCs w:val="20"/>
        </w:rPr>
        <w:t xml:space="preserve"> </w:t>
      </w:r>
      <w:r w:rsidR="000A6245">
        <w:rPr>
          <w:color w:val="000000"/>
          <w:sz w:val="20"/>
          <w:szCs w:val="20"/>
        </w:rPr>
        <w:t>F</w:t>
      </w:r>
      <w:r>
        <w:rPr>
          <w:color w:val="000000"/>
          <w:sz w:val="20"/>
          <w:szCs w:val="20"/>
        </w:rPr>
        <w:t>or band below 2700MHz for single DL band &lt;= 100MHz ranges from 20dB to 33dB</w:t>
      </w:r>
      <w:r w:rsidR="002A4E8C">
        <w:rPr>
          <w:color w:val="000000"/>
          <w:sz w:val="20"/>
          <w:szCs w:val="20"/>
        </w:rPr>
        <w:t xml:space="preserve"> depending </w:t>
      </w:r>
      <w:r w:rsidR="00224D35">
        <w:rPr>
          <w:color w:val="000000"/>
          <w:sz w:val="20"/>
          <w:szCs w:val="20"/>
        </w:rPr>
        <w:t xml:space="preserve">on </w:t>
      </w:r>
      <w:r w:rsidR="002A4E8C">
        <w:rPr>
          <w:color w:val="000000"/>
          <w:sz w:val="20"/>
          <w:szCs w:val="20"/>
        </w:rPr>
        <w:t>there is one CC or two CCs in each sub-block</w:t>
      </w:r>
      <w:r>
        <w:rPr>
          <w:color w:val="000000"/>
          <w:sz w:val="20"/>
          <w:szCs w:val="20"/>
        </w:rPr>
        <w:t>, meaning the interference power is 18.5dB to 31.5dB higher than the received power of CCs.</w:t>
      </w:r>
    </w:p>
    <w:p w14:paraId="681D6743" w14:textId="77777777" w:rsidR="00BA76F9" w:rsidRDefault="00BA76F9" w:rsidP="00F04A63">
      <w:pPr>
        <w:autoSpaceDE w:val="0"/>
        <w:autoSpaceDN w:val="0"/>
        <w:adjustRightInd w:val="0"/>
        <w:jc w:val="both"/>
        <w:rPr>
          <w:color w:val="000000"/>
          <w:sz w:val="20"/>
          <w:szCs w:val="20"/>
        </w:rPr>
      </w:pPr>
    </w:p>
    <w:p w14:paraId="63A09AA2" w14:textId="77777777" w:rsidR="006A1291" w:rsidRDefault="002A4E8C" w:rsidP="00F04A63">
      <w:pPr>
        <w:autoSpaceDE w:val="0"/>
        <w:autoSpaceDN w:val="0"/>
        <w:adjustRightInd w:val="0"/>
        <w:jc w:val="both"/>
        <w:rPr>
          <w:color w:val="000000"/>
          <w:sz w:val="20"/>
          <w:szCs w:val="20"/>
        </w:rPr>
      </w:pPr>
      <w:r>
        <w:rPr>
          <w:color w:val="000000"/>
          <w:sz w:val="20"/>
          <w:szCs w:val="20"/>
        </w:rPr>
        <w:t>The WF proposes to consider “</w:t>
      </w:r>
      <w:r w:rsidRPr="00455635">
        <w:rPr>
          <w:color w:val="000000"/>
          <w:sz w:val="20"/>
          <w:szCs w:val="20"/>
        </w:rPr>
        <w:t>Which RF requirements could be adjusted for the inter-operator co-located scenario, e.g. Existing UE RF requirements such as ACS</w:t>
      </w:r>
      <w:r>
        <w:rPr>
          <w:color w:val="000000"/>
          <w:sz w:val="20"/>
          <w:szCs w:val="20"/>
        </w:rPr>
        <w:t xml:space="preserve">.” </w:t>
      </w:r>
      <w:r w:rsidR="006A1291">
        <w:rPr>
          <w:color w:val="000000"/>
          <w:sz w:val="20"/>
          <w:szCs w:val="20"/>
        </w:rPr>
        <w:t>There could be different interpretations of this agreement:</w:t>
      </w:r>
    </w:p>
    <w:p w14:paraId="562B46C3" w14:textId="77777777" w:rsidR="006A1291" w:rsidRDefault="006A1291" w:rsidP="006A1291">
      <w:pPr>
        <w:pStyle w:val="ListParagraph"/>
        <w:numPr>
          <w:ilvl w:val="0"/>
          <w:numId w:val="33"/>
        </w:numPr>
        <w:autoSpaceDE w:val="0"/>
        <w:autoSpaceDN w:val="0"/>
        <w:adjustRightInd w:val="0"/>
        <w:jc w:val="both"/>
        <w:rPr>
          <w:color w:val="000000"/>
          <w:sz w:val="20"/>
          <w:szCs w:val="20"/>
        </w:rPr>
      </w:pPr>
      <w:r>
        <w:rPr>
          <w:color w:val="000000"/>
          <w:sz w:val="20"/>
          <w:szCs w:val="20"/>
        </w:rPr>
        <w:t>T</w:t>
      </w:r>
      <w:r w:rsidR="002A4E8C" w:rsidRPr="006A1291">
        <w:rPr>
          <w:color w:val="000000"/>
          <w:sz w:val="20"/>
          <w:szCs w:val="20"/>
        </w:rPr>
        <w:t xml:space="preserve">he current </w:t>
      </w:r>
      <w:r>
        <w:rPr>
          <w:color w:val="000000"/>
          <w:sz w:val="20"/>
          <w:szCs w:val="20"/>
        </w:rPr>
        <w:t xml:space="preserve">intra-band non-contiguous CA </w:t>
      </w:r>
      <w:r w:rsidR="002A4E8C" w:rsidRPr="006A1291">
        <w:rPr>
          <w:color w:val="000000"/>
          <w:sz w:val="20"/>
          <w:szCs w:val="20"/>
        </w:rPr>
        <w:t xml:space="preserve">ACS requirement should be adjusted to ensure the UE can work with a maximum of 12dB power difference between </w:t>
      </w:r>
      <w:r w:rsidRPr="006A1291">
        <w:rPr>
          <w:color w:val="000000"/>
          <w:sz w:val="20"/>
          <w:szCs w:val="20"/>
        </w:rPr>
        <w:t>the blocker and CCs</w:t>
      </w:r>
      <w:r>
        <w:rPr>
          <w:color w:val="000000"/>
          <w:sz w:val="20"/>
          <w:szCs w:val="20"/>
        </w:rPr>
        <w:t>, say</w:t>
      </w:r>
      <w:r w:rsidRPr="006A1291">
        <w:rPr>
          <w:color w:val="000000"/>
          <w:sz w:val="20"/>
          <w:szCs w:val="20"/>
        </w:rPr>
        <w:t xml:space="preserve"> this is required from inter-operator co-located scenario)</w:t>
      </w:r>
    </w:p>
    <w:p w14:paraId="2B20070A" w14:textId="0392E8EA" w:rsidR="00BA76F9" w:rsidRDefault="006A1291" w:rsidP="006A1291">
      <w:pPr>
        <w:pStyle w:val="ListParagraph"/>
        <w:numPr>
          <w:ilvl w:val="0"/>
          <w:numId w:val="33"/>
        </w:numPr>
        <w:autoSpaceDE w:val="0"/>
        <w:autoSpaceDN w:val="0"/>
        <w:adjustRightInd w:val="0"/>
        <w:jc w:val="both"/>
        <w:rPr>
          <w:color w:val="000000"/>
          <w:sz w:val="20"/>
          <w:szCs w:val="20"/>
        </w:rPr>
      </w:pPr>
      <w:r w:rsidRPr="006A1291">
        <w:rPr>
          <w:color w:val="000000"/>
          <w:sz w:val="20"/>
          <w:szCs w:val="20"/>
        </w:rPr>
        <w:t xml:space="preserve">RAN4 should </w:t>
      </w:r>
      <w:r>
        <w:rPr>
          <w:color w:val="000000"/>
          <w:sz w:val="20"/>
          <w:szCs w:val="20"/>
        </w:rPr>
        <w:t xml:space="preserve">start </w:t>
      </w:r>
      <w:r w:rsidR="000A6245">
        <w:rPr>
          <w:color w:val="000000"/>
          <w:sz w:val="20"/>
          <w:szCs w:val="20"/>
        </w:rPr>
        <w:t xml:space="preserve">the discussion by </w:t>
      </w:r>
      <w:r>
        <w:rPr>
          <w:color w:val="000000"/>
          <w:sz w:val="20"/>
          <w:szCs w:val="20"/>
        </w:rPr>
        <w:t>consider</w:t>
      </w:r>
      <w:r w:rsidR="000A6245">
        <w:rPr>
          <w:color w:val="000000"/>
          <w:sz w:val="20"/>
          <w:szCs w:val="20"/>
        </w:rPr>
        <w:t>ing</w:t>
      </w:r>
      <w:r w:rsidR="006D11F6">
        <w:rPr>
          <w:color w:val="000000"/>
          <w:sz w:val="20"/>
          <w:szCs w:val="20"/>
        </w:rPr>
        <w:t xml:space="preserve"> how much power imbalance a UE can deal with using common Rx chains. Based on the outcome of the </w:t>
      </w:r>
      <w:r w:rsidR="000A6245">
        <w:rPr>
          <w:color w:val="000000"/>
          <w:sz w:val="20"/>
          <w:szCs w:val="20"/>
        </w:rPr>
        <w:t>discussion</w:t>
      </w:r>
      <w:r w:rsidR="006D11F6">
        <w:rPr>
          <w:color w:val="000000"/>
          <w:sz w:val="20"/>
          <w:szCs w:val="20"/>
        </w:rPr>
        <w:t>, 12dB power difference may or may not be supported.</w:t>
      </w:r>
      <w:r w:rsidR="000A6245">
        <w:rPr>
          <w:color w:val="000000"/>
          <w:sz w:val="20"/>
          <w:szCs w:val="20"/>
        </w:rPr>
        <w:t xml:space="preserve"> Whatever the power difference that can be supported would be the requirement for the deployment. However, it is not clear if such requirement can be placed between the two operators.</w:t>
      </w:r>
    </w:p>
    <w:p w14:paraId="31AA858B" w14:textId="77777777" w:rsidR="002A4E8C" w:rsidRDefault="002A4E8C" w:rsidP="00F04A63">
      <w:pPr>
        <w:autoSpaceDE w:val="0"/>
        <w:autoSpaceDN w:val="0"/>
        <w:adjustRightInd w:val="0"/>
        <w:jc w:val="both"/>
        <w:rPr>
          <w:color w:val="000000"/>
          <w:sz w:val="20"/>
          <w:szCs w:val="20"/>
        </w:rPr>
      </w:pPr>
    </w:p>
    <w:p w14:paraId="4F80B710" w14:textId="3CCF612C" w:rsidR="00060F87" w:rsidRDefault="00060F87" w:rsidP="00F04A63">
      <w:pPr>
        <w:autoSpaceDE w:val="0"/>
        <w:autoSpaceDN w:val="0"/>
        <w:adjustRightInd w:val="0"/>
        <w:jc w:val="both"/>
        <w:rPr>
          <w:color w:val="000000"/>
          <w:sz w:val="20"/>
          <w:szCs w:val="20"/>
        </w:rPr>
      </w:pPr>
      <w:r>
        <w:rPr>
          <w:color w:val="000000"/>
          <w:sz w:val="20"/>
          <w:szCs w:val="20"/>
        </w:rPr>
        <w:t xml:space="preserve">It is better to have a target of the maximum power difference between </w:t>
      </w:r>
      <w:r w:rsidRPr="006A1291">
        <w:rPr>
          <w:color w:val="000000"/>
          <w:sz w:val="20"/>
          <w:szCs w:val="20"/>
        </w:rPr>
        <w:t>the blocker and C</w:t>
      </w:r>
      <w:r>
        <w:rPr>
          <w:color w:val="000000"/>
          <w:sz w:val="20"/>
          <w:szCs w:val="20"/>
        </w:rPr>
        <w:t>C1/CC2, or the maximum power difference between CCs from two operators</w:t>
      </w:r>
      <w:r w:rsidR="00EA38BE">
        <w:rPr>
          <w:color w:val="000000"/>
          <w:sz w:val="20"/>
          <w:szCs w:val="20"/>
        </w:rPr>
        <w:t xml:space="preserve"> before RAN4 starts to discuss</w:t>
      </w:r>
      <w:r>
        <w:rPr>
          <w:color w:val="000000"/>
          <w:sz w:val="20"/>
          <w:szCs w:val="20"/>
        </w:rPr>
        <w:t>.</w:t>
      </w:r>
      <w:r w:rsidR="00EA38BE">
        <w:rPr>
          <w:color w:val="000000"/>
          <w:sz w:val="20"/>
          <w:szCs w:val="20"/>
        </w:rPr>
        <w:t xml:space="preserve"> W</w:t>
      </w:r>
      <w:r w:rsidR="009653C7">
        <w:rPr>
          <w:color w:val="000000"/>
          <w:sz w:val="20"/>
          <w:szCs w:val="20"/>
        </w:rPr>
        <w:t xml:space="preserve">e </w:t>
      </w:r>
      <w:r w:rsidR="00EA38BE">
        <w:rPr>
          <w:color w:val="000000"/>
          <w:sz w:val="20"/>
          <w:szCs w:val="20"/>
        </w:rPr>
        <w:t xml:space="preserve">therefore </w:t>
      </w:r>
      <w:r w:rsidR="009653C7">
        <w:rPr>
          <w:color w:val="000000"/>
          <w:sz w:val="20"/>
          <w:szCs w:val="20"/>
        </w:rPr>
        <w:t>prefer to clarify it in the scope of the SI</w:t>
      </w:r>
      <w:r w:rsidR="00EA38BE">
        <w:rPr>
          <w:color w:val="000000"/>
          <w:sz w:val="20"/>
          <w:szCs w:val="20"/>
        </w:rPr>
        <w:t xml:space="preserve"> from the get-go</w:t>
      </w:r>
      <w:r w:rsidR="009653C7">
        <w:rPr>
          <w:color w:val="000000"/>
          <w:sz w:val="20"/>
          <w:szCs w:val="20"/>
        </w:rPr>
        <w:t>.</w:t>
      </w:r>
    </w:p>
    <w:p w14:paraId="47EC8573" w14:textId="77777777" w:rsidR="00060F87" w:rsidRDefault="00060F87" w:rsidP="00F04A63">
      <w:pPr>
        <w:autoSpaceDE w:val="0"/>
        <w:autoSpaceDN w:val="0"/>
        <w:adjustRightInd w:val="0"/>
        <w:jc w:val="both"/>
        <w:rPr>
          <w:color w:val="000000"/>
          <w:sz w:val="20"/>
          <w:szCs w:val="20"/>
        </w:rPr>
      </w:pPr>
    </w:p>
    <w:p w14:paraId="3C32A2CC" w14:textId="20892100" w:rsidR="00060F87" w:rsidRDefault="00EA38BE" w:rsidP="00F04A63">
      <w:pPr>
        <w:autoSpaceDE w:val="0"/>
        <w:autoSpaceDN w:val="0"/>
        <w:adjustRightInd w:val="0"/>
        <w:jc w:val="both"/>
        <w:rPr>
          <w:color w:val="000000"/>
          <w:sz w:val="20"/>
          <w:szCs w:val="20"/>
        </w:rPr>
      </w:pPr>
      <w:r>
        <w:rPr>
          <w:color w:val="000000"/>
          <w:sz w:val="20"/>
          <w:szCs w:val="20"/>
        </w:rPr>
        <w:t>If it turns out to be difficult to reach an agreement on the maximum power difference between CCs from two operators, t</w:t>
      </w:r>
      <w:r w:rsidR="00060F87">
        <w:rPr>
          <w:color w:val="000000"/>
          <w:sz w:val="20"/>
          <w:szCs w:val="20"/>
        </w:rPr>
        <w:t>o support UE implementation flexibility and deployment flexibility</w:t>
      </w:r>
      <w:r>
        <w:rPr>
          <w:color w:val="000000"/>
          <w:sz w:val="20"/>
          <w:szCs w:val="20"/>
        </w:rPr>
        <w:t xml:space="preserve"> </w:t>
      </w:r>
      <w:r w:rsidR="00060F87">
        <w:rPr>
          <w:color w:val="000000"/>
          <w:sz w:val="20"/>
          <w:szCs w:val="20"/>
        </w:rPr>
        <w:t>another option is to facilitate some UE measurement</w:t>
      </w:r>
      <w:r w:rsidR="009648C8">
        <w:rPr>
          <w:color w:val="000000"/>
          <w:sz w:val="20"/>
          <w:szCs w:val="20"/>
        </w:rPr>
        <w:t>/network indication</w:t>
      </w:r>
      <w:r w:rsidR="00060F87">
        <w:rPr>
          <w:color w:val="000000"/>
          <w:sz w:val="20"/>
          <w:szCs w:val="20"/>
        </w:rPr>
        <w:t xml:space="preserve"> of the blocker power level and then UE/network can decide if common Rx chains or separate Rx chains should be used.</w:t>
      </w:r>
    </w:p>
    <w:p w14:paraId="17051401" w14:textId="77777777" w:rsidR="00060F87" w:rsidRDefault="00060F87" w:rsidP="00F04A63">
      <w:pPr>
        <w:autoSpaceDE w:val="0"/>
        <w:autoSpaceDN w:val="0"/>
        <w:adjustRightInd w:val="0"/>
        <w:jc w:val="both"/>
        <w:rPr>
          <w:color w:val="000000"/>
          <w:sz w:val="20"/>
          <w:szCs w:val="20"/>
        </w:rPr>
      </w:pPr>
    </w:p>
    <w:p w14:paraId="5F00AFC8" w14:textId="46F09322" w:rsidR="00E40560" w:rsidRDefault="00E40560" w:rsidP="00E40560">
      <w:pPr>
        <w:spacing w:before="100" w:beforeAutospacing="1" w:after="100"/>
        <w:rPr>
          <w:b/>
          <w:bCs/>
          <w:i/>
          <w:iCs/>
          <w:sz w:val="20"/>
          <w:szCs w:val="20"/>
        </w:rPr>
      </w:pPr>
      <w:r w:rsidRPr="004E0E90">
        <w:rPr>
          <w:b/>
          <w:bCs/>
          <w:i/>
          <w:iCs/>
          <w:sz w:val="20"/>
          <w:szCs w:val="20"/>
        </w:rPr>
        <w:lastRenderedPageBreak/>
        <w:t xml:space="preserve">Proposal </w:t>
      </w:r>
      <w:r w:rsidR="00224D35">
        <w:rPr>
          <w:b/>
          <w:bCs/>
          <w:i/>
          <w:iCs/>
          <w:sz w:val="20"/>
          <w:szCs w:val="20"/>
        </w:rPr>
        <w:t>2</w:t>
      </w:r>
      <w:r w:rsidRPr="004E0E90">
        <w:rPr>
          <w:b/>
          <w:bCs/>
          <w:i/>
          <w:iCs/>
          <w:sz w:val="20"/>
          <w:szCs w:val="20"/>
        </w:rPr>
        <w:t xml:space="preserve">: </w:t>
      </w:r>
      <w:r w:rsidR="0050596C">
        <w:rPr>
          <w:b/>
          <w:bCs/>
          <w:i/>
          <w:iCs/>
          <w:sz w:val="20"/>
          <w:szCs w:val="20"/>
        </w:rPr>
        <w:t xml:space="preserve">It is proposed to </w:t>
      </w:r>
      <w:r w:rsidR="0076512C">
        <w:rPr>
          <w:b/>
          <w:bCs/>
          <w:i/>
          <w:iCs/>
          <w:sz w:val="20"/>
          <w:szCs w:val="20"/>
        </w:rPr>
        <w:t xml:space="preserve">capture in the SID </w:t>
      </w:r>
      <w:r w:rsidR="0035000F">
        <w:rPr>
          <w:b/>
          <w:bCs/>
          <w:i/>
          <w:iCs/>
          <w:sz w:val="20"/>
          <w:szCs w:val="20"/>
        </w:rPr>
        <w:t>a target</w:t>
      </w:r>
      <w:r w:rsidR="00224D35">
        <w:rPr>
          <w:b/>
          <w:bCs/>
          <w:i/>
          <w:iCs/>
          <w:sz w:val="20"/>
          <w:szCs w:val="20"/>
        </w:rPr>
        <w:t xml:space="preserve"> </w:t>
      </w:r>
      <w:r w:rsidR="00224D35" w:rsidRPr="00224D35">
        <w:rPr>
          <w:b/>
          <w:bCs/>
          <w:i/>
          <w:iCs/>
          <w:sz w:val="20"/>
          <w:szCs w:val="20"/>
        </w:rPr>
        <w:t>maximum power difference between</w:t>
      </w:r>
      <w:r w:rsidR="00224D35">
        <w:rPr>
          <w:b/>
          <w:bCs/>
          <w:i/>
          <w:iCs/>
          <w:sz w:val="20"/>
          <w:szCs w:val="20"/>
        </w:rPr>
        <w:t xml:space="preserve"> </w:t>
      </w:r>
      <w:r w:rsidR="00224D35" w:rsidRPr="00224D35">
        <w:rPr>
          <w:b/>
          <w:bCs/>
          <w:i/>
          <w:iCs/>
          <w:sz w:val="20"/>
          <w:szCs w:val="20"/>
        </w:rPr>
        <w:t xml:space="preserve">the blocker and CC1/CC2, or </w:t>
      </w:r>
      <w:r w:rsidR="0076512C">
        <w:rPr>
          <w:b/>
          <w:bCs/>
          <w:i/>
          <w:iCs/>
          <w:sz w:val="20"/>
          <w:szCs w:val="20"/>
        </w:rPr>
        <w:t>a target</w:t>
      </w:r>
      <w:r w:rsidR="00224D35" w:rsidRPr="00224D35">
        <w:rPr>
          <w:b/>
          <w:bCs/>
          <w:i/>
          <w:iCs/>
          <w:sz w:val="20"/>
          <w:szCs w:val="20"/>
        </w:rPr>
        <w:t xml:space="preserve"> maximum power difference between CCs from two operators</w:t>
      </w:r>
      <w:r w:rsidR="00224D35">
        <w:rPr>
          <w:b/>
          <w:bCs/>
          <w:i/>
          <w:iCs/>
          <w:sz w:val="20"/>
          <w:szCs w:val="20"/>
        </w:rPr>
        <w:t xml:space="preserve">, in the </w:t>
      </w:r>
      <w:r w:rsidR="00224D35" w:rsidRPr="00224D35">
        <w:rPr>
          <w:b/>
          <w:bCs/>
          <w:i/>
          <w:iCs/>
          <w:sz w:val="20"/>
          <w:szCs w:val="20"/>
        </w:rPr>
        <w:t>inter-operator co-located scenario</w:t>
      </w:r>
      <w:r w:rsidR="00224D35">
        <w:rPr>
          <w:b/>
          <w:bCs/>
          <w:i/>
          <w:iCs/>
          <w:sz w:val="20"/>
          <w:szCs w:val="20"/>
        </w:rPr>
        <w:t>. If this</w:t>
      </w:r>
      <w:r w:rsidR="0035000F">
        <w:rPr>
          <w:b/>
          <w:bCs/>
          <w:i/>
          <w:iCs/>
          <w:sz w:val="20"/>
          <w:szCs w:val="20"/>
        </w:rPr>
        <w:t xml:space="preserve"> cannot be done</w:t>
      </w:r>
      <w:r w:rsidR="00224D35">
        <w:rPr>
          <w:b/>
          <w:bCs/>
          <w:i/>
          <w:iCs/>
          <w:sz w:val="20"/>
          <w:szCs w:val="20"/>
        </w:rPr>
        <w:t xml:space="preserve">, </w:t>
      </w:r>
      <w:r w:rsidR="00224D35" w:rsidRPr="00224D35">
        <w:rPr>
          <w:b/>
          <w:bCs/>
          <w:i/>
          <w:iCs/>
          <w:sz w:val="20"/>
          <w:szCs w:val="20"/>
        </w:rPr>
        <w:t>another option is to facilitate some UE measurement</w:t>
      </w:r>
      <w:r w:rsidR="009648C8">
        <w:rPr>
          <w:b/>
          <w:bCs/>
          <w:i/>
          <w:iCs/>
          <w:sz w:val="20"/>
          <w:szCs w:val="20"/>
        </w:rPr>
        <w:t>/network indication</w:t>
      </w:r>
      <w:r w:rsidR="00224D35" w:rsidRPr="00224D35">
        <w:rPr>
          <w:b/>
          <w:bCs/>
          <w:i/>
          <w:iCs/>
          <w:sz w:val="20"/>
          <w:szCs w:val="20"/>
        </w:rPr>
        <w:t xml:space="preserve"> of the blocker power level and then UE/network can decide if common Rx chains or separate Rx chains should be used.</w:t>
      </w:r>
    </w:p>
    <w:p w14:paraId="3EB89F05" w14:textId="4BB95B62" w:rsidR="00F614F2" w:rsidRPr="00435B44" w:rsidRDefault="00F614F2" w:rsidP="00435B44">
      <w:pPr>
        <w:rPr>
          <w:color w:val="000000"/>
          <w:sz w:val="20"/>
          <w:szCs w:val="20"/>
        </w:rPr>
      </w:pPr>
    </w:p>
    <w:p w14:paraId="34C99636" w14:textId="77777777" w:rsidR="008E7986" w:rsidRDefault="008E7986" w:rsidP="008E7986">
      <w:pPr>
        <w:pStyle w:val="Heading1"/>
      </w:pPr>
      <w:r>
        <w:t>3</w:t>
      </w:r>
      <w:r>
        <w:tab/>
        <w:t>Conclusions</w:t>
      </w:r>
    </w:p>
    <w:p w14:paraId="6F3027FC" w14:textId="72168602" w:rsidR="00300BA9" w:rsidRDefault="00B61EEA" w:rsidP="00300BA9">
      <w:pPr>
        <w:rPr>
          <w:sz w:val="20"/>
          <w:szCs w:val="20"/>
        </w:rPr>
      </w:pPr>
      <w:r w:rsidRPr="00384F83">
        <w:rPr>
          <w:sz w:val="20"/>
          <w:szCs w:val="20"/>
        </w:rPr>
        <w:t>In this contribution</w:t>
      </w:r>
      <w:r>
        <w:rPr>
          <w:sz w:val="20"/>
          <w:szCs w:val="20"/>
        </w:rPr>
        <w:t xml:space="preserve">, </w:t>
      </w:r>
      <w:r w:rsidR="00A91EAD">
        <w:rPr>
          <w:sz w:val="20"/>
          <w:szCs w:val="20"/>
        </w:rPr>
        <w:t xml:space="preserve">we </w:t>
      </w:r>
      <w:r w:rsidR="009653C7" w:rsidRPr="009653C7">
        <w:rPr>
          <w:sz w:val="20"/>
          <w:szCs w:val="20"/>
        </w:rPr>
        <w:t xml:space="preserve">seek to </w:t>
      </w:r>
      <w:r w:rsidR="009653C7">
        <w:rPr>
          <w:sz w:val="20"/>
          <w:szCs w:val="20"/>
        </w:rPr>
        <w:t xml:space="preserve">further clarify </w:t>
      </w:r>
      <w:r w:rsidR="009653C7" w:rsidRPr="009653C7">
        <w:rPr>
          <w:sz w:val="20"/>
          <w:szCs w:val="20"/>
        </w:rPr>
        <w:t>the scope</w:t>
      </w:r>
      <w:r w:rsidR="004C15C7">
        <w:rPr>
          <w:sz w:val="20"/>
          <w:szCs w:val="20"/>
        </w:rPr>
        <w:t xml:space="preserve"> and make the following proposal</w:t>
      </w:r>
      <w:r w:rsidR="00A91EAD">
        <w:rPr>
          <w:sz w:val="20"/>
          <w:szCs w:val="20"/>
        </w:rPr>
        <w:t>.</w:t>
      </w:r>
    </w:p>
    <w:p w14:paraId="008FBF47" w14:textId="77777777" w:rsidR="004C15C7" w:rsidRDefault="004C15C7" w:rsidP="00300BA9">
      <w:pPr>
        <w:rPr>
          <w:sz w:val="20"/>
          <w:szCs w:val="20"/>
        </w:rPr>
      </w:pPr>
    </w:p>
    <w:p w14:paraId="78DFB7EB" w14:textId="77777777" w:rsidR="009653C7" w:rsidRDefault="009653C7" w:rsidP="009653C7">
      <w:pPr>
        <w:spacing w:before="100" w:beforeAutospacing="1" w:after="100"/>
        <w:rPr>
          <w:b/>
          <w:bCs/>
          <w:i/>
          <w:iCs/>
          <w:sz w:val="20"/>
          <w:szCs w:val="20"/>
        </w:rPr>
      </w:pPr>
      <w:r w:rsidRPr="004E0E90">
        <w:rPr>
          <w:b/>
          <w:bCs/>
          <w:i/>
          <w:iCs/>
          <w:sz w:val="20"/>
          <w:szCs w:val="20"/>
        </w:rPr>
        <w:t xml:space="preserve">Proposal 1: </w:t>
      </w:r>
      <w:r>
        <w:rPr>
          <w:b/>
          <w:bCs/>
          <w:i/>
          <w:iCs/>
          <w:sz w:val="20"/>
          <w:szCs w:val="20"/>
        </w:rPr>
        <w:t xml:space="preserve">To avoid any ambiguity, it is proposed to change the wording from </w:t>
      </w:r>
      <w:r w:rsidRPr="00756E2A">
        <w:rPr>
          <w:b/>
          <w:bCs/>
          <w:i/>
          <w:iCs/>
          <w:sz w:val="20"/>
          <w:szCs w:val="20"/>
        </w:rPr>
        <w:t>“Identify methods for reducing number of UE Rx chains (e.g. 1 or 2) needed for single DL band of ≤ 100 MHz (frequency span) containing two non-contiguous CCs within a CA combination for the inter-operator co-located scenario”</w:t>
      </w:r>
      <w:r>
        <w:rPr>
          <w:b/>
          <w:bCs/>
          <w:i/>
          <w:iCs/>
          <w:sz w:val="20"/>
          <w:szCs w:val="20"/>
        </w:rPr>
        <w:t xml:space="preserve"> to </w:t>
      </w:r>
      <w:r w:rsidRPr="00756E2A">
        <w:rPr>
          <w:b/>
          <w:bCs/>
          <w:i/>
          <w:iCs/>
          <w:sz w:val="20"/>
          <w:szCs w:val="20"/>
        </w:rPr>
        <w:t xml:space="preserve">“Identify methods for reducing </w:t>
      </w:r>
      <w:r>
        <w:rPr>
          <w:b/>
          <w:bCs/>
          <w:i/>
          <w:iCs/>
          <w:sz w:val="20"/>
          <w:szCs w:val="20"/>
        </w:rPr>
        <w:t xml:space="preserve">sets </w:t>
      </w:r>
      <w:r w:rsidRPr="00756E2A">
        <w:rPr>
          <w:b/>
          <w:bCs/>
          <w:i/>
          <w:iCs/>
          <w:sz w:val="20"/>
          <w:szCs w:val="20"/>
        </w:rPr>
        <w:t xml:space="preserve">of UE Rx chains (e.g. </w:t>
      </w:r>
      <w:r>
        <w:rPr>
          <w:b/>
          <w:bCs/>
          <w:i/>
          <w:iCs/>
          <w:sz w:val="20"/>
          <w:szCs w:val="20"/>
        </w:rPr>
        <w:t xml:space="preserve">from 2 sets to </w:t>
      </w:r>
      <w:r w:rsidRPr="00756E2A">
        <w:rPr>
          <w:b/>
          <w:bCs/>
          <w:i/>
          <w:iCs/>
          <w:sz w:val="20"/>
          <w:szCs w:val="20"/>
        </w:rPr>
        <w:t xml:space="preserve">1 </w:t>
      </w:r>
      <w:r>
        <w:rPr>
          <w:b/>
          <w:bCs/>
          <w:i/>
          <w:iCs/>
          <w:sz w:val="20"/>
          <w:szCs w:val="20"/>
        </w:rPr>
        <w:t xml:space="preserve">set, where 1 set of Rx chains consists of </w:t>
      </w:r>
      <w:r w:rsidRPr="00756E2A">
        <w:rPr>
          <w:b/>
          <w:bCs/>
          <w:i/>
          <w:iCs/>
          <w:sz w:val="20"/>
          <w:szCs w:val="20"/>
        </w:rPr>
        <w:t>one main Rx and one diversity Rx</w:t>
      </w:r>
      <w:r>
        <w:rPr>
          <w:b/>
          <w:bCs/>
          <w:i/>
          <w:iCs/>
          <w:sz w:val="20"/>
          <w:szCs w:val="20"/>
        </w:rPr>
        <w:t xml:space="preserve"> for a UE with 2Rx </w:t>
      </w:r>
      <w:r w:rsidRPr="00756E2A">
        <w:rPr>
          <w:b/>
          <w:bCs/>
          <w:i/>
          <w:iCs/>
          <w:sz w:val="20"/>
          <w:szCs w:val="20"/>
        </w:rPr>
        <w:t>) needed for single DL band of ≤ 100 MHz (frequency span) containing two non-contiguous CCs within a CA combination for the inter-operator co-located scenario</w:t>
      </w:r>
      <w:r>
        <w:rPr>
          <w:b/>
          <w:bCs/>
          <w:i/>
          <w:iCs/>
          <w:sz w:val="20"/>
          <w:szCs w:val="20"/>
        </w:rPr>
        <w:t>.</w:t>
      </w:r>
      <w:r w:rsidRPr="00756E2A">
        <w:rPr>
          <w:b/>
          <w:bCs/>
          <w:i/>
          <w:iCs/>
          <w:sz w:val="20"/>
          <w:szCs w:val="20"/>
        </w:rPr>
        <w:t>”</w:t>
      </w:r>
    </w:p>
    <w:p w14:paraId="6D0505A4" w14:textId="77777777" w:rsidR="0076512C" w:rsidRDefault="0076512C" w:rsidP="0076512C">
      <w:pPr>
        <w:spacing w:before="100" w:beforeAutospacing="1" w:after="100"/>
        <w:rPr>
          <w:b/>
          <w:bCs/>
          <w:i/>
          <w:iCs/>
          <w:sz w:val="20"/>
          <w:szCs w:val="20"/>
        </w:rPr>
      </w:pPr>
      <w:r w:rsidRPr="004E0E90">
        <w:rPr>
          <w:b/>
          <w:bCs/>
          <w:i/>
          <w:iCs/>
          <w:sz w:val="20"/>
          <w:szCs w:val="20"/>
        </w:rPr>
        <w:t xml:space="preserve">Proposal </w:t>
      </w:r>
      <w:r>
        <w:rPr>
          <w:b/>
          <w:bCs/>
          <w:i/>
          <w:iCs/>
          <w:sz w:val="20"/>
          <w:szCs w:val="20"/>
        </w:rPr>
        <w:t>2</w:t>
      </w:r>
      <w:r w:rsidRPr="004E0E90">
        <w:rPr>
          <w:b/>
          <w:bCs/>
          <w:i/>
          <w:iCs/>
          <w:sz w:val="20"/>
          <w:szCs w:val="20"/>
        </w:rPr>
        <w:t xml:space="preserve">: </w:t>
      </w:r>
      <w:r>
        <w:rPr>
          <w:b/>
          <w:bCs/>
          <w:i/>
          <w:iCs/>
          <w:sz w:val="20"/>
          <w:szCs w:val="20"/>
        </w:rPr>
        <w:t xml:space="preserve">It is proposed to capture in the SID a target </w:t>
      </w:r>
      <w:r w:rsidRPr="00224D35">
        <w:rPr>
          <w:b/>
          <w:bCs/>
          <w:i/>
          <w:iCs/>
          <w:sz w:val="20"/>
          <w:szCs w:val="20"/>
        </w:rPr>
        <w:t>maximum power difference between</w:t>
      </w:r>
      <w:r>
        <w:rPr>
          <w:b/>
          <w:bCs/>
          <w:i/>
          <w:iCs/>
          <w:sz w:val="20"/>
          <w:szCs w:val="20"/>
        </w:rPr>
        <w:t xml:space="preserve"> </w:t>
      </w:r>
      <w:r w:rsidRPr="00224D35">
        <w:rPr>
          <w:b/>
          <w:bCs/>
          <w:i/>
          <w:iCs/>
          <w:sz w:val="20"/>
          <w:szCs w:val="20"/>
        </w:rPr>
        <w:t xml:space="preserve">the blocker and CC1/CC2, or </w:t>
      </w:r>
      <w:r>
        <w:rPr>
          <w:b/>
          <w:bCs/>
          <w:i/>
          <w:iCs/>
          <w:sz w:val="20"/>
          <w:szCs w:val="20"/>
        </w:rPr>
        <w:t>a target</w:t>
      </w:r>
      <w:r w:rsidRPr="00224D35">
        <w:rPr>
          <w:b/>
          <w:bCs/>
          <w:i/>
          <w:iCs/>
          <w:sz w:val="20"/>
          <w:szCs w:val="20"/>
        </w:rPr>
        <w:t xml:space="preserve"> maximum power difference between CCs from two operators</w:t>
      </w:r>
      <w:r>
        <w:rPr>
          <w:b/>
          <w:bCs/>
          <w:i/>
          <w:iCs/>
          <w:sz w:val="20"/>
          <w:szCs w:val="20"/>
        </w:rPr>
        <w:t xml:space="preserve">, in the </w:t>
      </w:r>
      <w:r w:rsidRPr="00224D35">
        <w:rPr>
          <w:b/>
          <w:bCs/>
          <w:i/>
          <w:iCs/>
          <w:sz w:val="20"/>
          <w:szCs w:val="20"/>
        </w:rPr>
        <w:t>inter-operator co-located scenario</w:t>
      </w:r>
      <w:r>
        <w:rPr>
          <w:b/>
          <w:bCs/>
          <w:i/>
          <w:iCs/>
          <w:sz w:val="20"/>
          <w:szCs w:val="20"/>
        </w:rPr>
        <w:t xml:space="preserve">. If this cannot be done, </w:t>
      </w:r>
      <w:r w:rsidRPr="00224D35">
        <w:rPr>
          <w:b/>
          <w:bCs/>
          <w:i/>
          <w:iCs/>
          <w:sz w:val="20"/>
          <w:szCs w:val="20"/>
        </w:rPr>
        <w:t>another option is to facilitate some UE measurement</w:t>
      </w:r>
      <w:r>
        <w:rPr>
          <w:b/>
          <w:bCs/>
          <w:i/>
          <w:iCs/>
          <w:sz w:val="20"/>
          <w:szCs w:val="20"/>
        </w:rPr>
        <w:t>/network indication</w:t>
      </w:r>
      <w:r w:rsidRPr="00224D35">
        <w:rPr>
          <w:b/>
          <w:bCs/>
          <w:i/>
          <w:iCs/>
          <w:sz w:val="20"/>
          <w:szCs w:val="20"/>
        </w:rPr>
        <w:t xml:space="preserve"> of the blocker power level and then UE/network can decide if common Rx chains or separate Rx chains should be used.</w:t>
      </w:r>
    </w:p>
    <w:p w14:paraId="4D133CD8" w14:textId="4D8B9443" w:rsidR="00276EE4" w:rsidRPr="003A0483" w:rsidRDefault="005E69AE" w:rsidP="00BC4103">
      <w:pPr>
        <w:pStyle w:val="Heading1"/>
      </w:pPr>
      <w:r>
        <w:t>4</w:t>
      </w:r>
      <w:r>
        <w:tab/>
        <w:t>References</w:t>
      </w:r>
    </w:p>
    <w:p w14:paraId="10335E92" w14:textId="7C2D65F6" w:rsidR="00821AEF" w:rsidRDefault="00C93538" w:rsidP="00276EE4">
      <w:pPr>
        <w:pStyle w:val="EX"/>
        <w:rPr>
          <w:sz w:val="20"/>
          <w:szCs w:val="20"/>
        </w:rPr>
      </w:pPr>
      <w:bookmarkStart w:id="1" w:name="_Ref31651909"/>
      <w:bookmarkStart w:id="2" w:name="_Ref13820109"/>
      <w:r w:rsidRPr="00C93538">
        <w:rPr>
          <w:sz w:val="20"/>
          <w:szCs w:val="20"/>
        </w:rPr>
        <w:t>RP‑240503</w:t>
      </w:r>
      <w:r w:rsidR="00821AEF" w:rsidRPr="00D857BA">
        <w:rPr>
          <w:sz w:val="20"/>
          <w:szCs w:val="20"/>
        </w:rPr>
        <w:t>, "</w:t>
      </w:r>
      <w:r w:rsidRPr="00C93538">
        <w:rPr>
          <w:sz w:val="20"/>
          <w:szCs w:val="20"/>
        </w:rPr>
        <w:t>Fragmented carriers in the DL</w:t>
      </w:r>
      <w:r>
        <w:rPr>
          <w:sz w:val="20"/>
          <w:szCs w:val="20"/>
        </w:rPr>
        <w:t>,</w:t>
      </w:r>
      <w:r w:rsidR="00821AEF" w:rsidRPr="00D857BA">
        <w:rPr>
          <w:sz w:val="20"/>
          <w:szCs w:val="20"/>
        </w:rPr>
        <w:t xml:space="preserve">" </w:t>
      </w:r>
      <w:bookmarkEnd w:id="1"/>
      <w:r w:rsidRPr="00C93538">
        <w:rPr>
          <w:sz w:val="20"/>
          <w:szCs w:val="20"/>
        </w:rPr>
        <w:t>TELUS, Bell Mobility, Nokia, Nokia Shanghai Bell, Telstra, T-Mobile USA, US Cellular, Spark NZ Ltd, Southern Linc, AT&amp;T</w:t>
      </w:r>
    </w:p>
    <w:bookmarkEnd w:id="0"/>
    <w:bookmarkEnd w:id="2"/>
    <w:p w14:paraId="50A569BD" w14:textId="3B5D06AE" w:rsidR="00BC4103" w:rsidRPr="0004681A" w:rsidRDefault="00BD07FF" w:rsidP="0004681A">
      <w:pPr>
        <w:pStyle w:val="EX"/>
        <w:rPr>
          <w:sz w:val="20"/>
          <w:szCs w:val="20"/>
        </w:rPr>
      </w:pPr>
      <w:r w:rsidRPr="00BD07FF">
        <w:rPr>
          <w:sz w:val="20"/>
          <w:szCs w:val="20"/>
        </w:rPr>
        <w:t>RP-240498</w:t>
      </w:r>
      <w:r w:rsidR="0040183E">
        <w:rPr>
          <w:sz w:val="20"/>
          <w:szCs w:val="20"/>
        </w:rPr>
        <w:t xml:space="preserve">, </w:t>
      </w:r>
      <w:r w:rsidRPr="00D857BA">
        <w:rPr>
          <w:sz w:val="20"/>
          <w:szCs w:val="20"/>
        </w:rPr>
        <w:t>"</w:t>
      </w:r>
      <w:r w:rsidRPr="00BD07FF">
        <w:rPr>
          <w:sz w:val="20"/>
          <w:szCs w:val="20"/>
        </w:rPr>
        <w:t>Way Forward on Fragmented Carriers in Rel-19</w:t>
      </w:r>
      <w:r>
        <w:rPr>
          <w:sz w:val="20"/>
          <w:szCs w:val="20"/>
        </w:rPr>
        <w:t>,</w:t>
      </w:r>
      <w:r w:rsidRPr="00D857BA">
        <w:rPr>
          <w:sz w:val="20"/>
          <w:szCs w:val="20"/>
        </w:rPr>
        <w:t xml:space="preserve">" </w:t>
      </w:r>
      <w:r w:rsidRPr="00BD07FF">
        <w:rPr>
          <w:sz w:val="20"/>
          <w:szCs w:val="20"/>
        </w:rPr>
        <w:t>TELUS, Bell Mobility, Nokia, Nokia Shanghai Bell, Telstra, T-Mobile USA, US Cellular, Spark NZ Ltd, Southern Linc, AT&amp;T, Verizon Wireless, CableLabs, Samsung, Apple, Ericsson, CHTTL, Intel</w:t>
      </w:r>
    </w:p>
    <w:sectPr w:rsidR="00BC4103" w:rsidRPr="0004681A" w:rsidSect="00114E2C">
      <w:headerReference w:type="defaul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42F1F" w14:textId="77777777" w:rsidR="0088083B" w:rsidRDefault="0088083B">
      <w:r>
        <w:separator/>
      </w:r>
    </w:p>
  </w:endnote>
  <w:endnote w:type="continuationSeparator" w:id="0">
    <w:p w14:paraId="387211FD" w14:textId="77777777" w:rsidR="0088083B" w:rsidRDefault="00880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9158F" w14:textId="77777777" w:rsidR="0088083B" w:rsidRDefault="0088083B">
      <w:r>
        <w:separator/>
      </w:r>
    </w:p>
  </w:footnote>
  <w:footnote w:type="continuationSeparator" w:id="0">
    <w:p w14:paraId="24221168" w14:textId="77777777" w:rsidR="0088083B" w:rsidRDefault="008808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46E7BDE"/>
    <w:multiLevelType w:val="hybridMultilevel"/>
    <w:tmpl w:val="78863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2"/>
  </w:num>
  <w:num w:numId="4" w16cid:durableId="671496524">
    <w:abstractNumId w:val="27"/>
  </w:num>
  <w:num w:numId="5" w16cid:durableId="1501116029">
    <w:abstractNumId w:val="3"/>
  </w:num>
  <w:num w:numId="6" w16cid:durableId="1775780724">
    <w:abstractNumId w:val="3"/>
  </w:num>
  <w:num w:numId="7" w16cid:durableId="2004430155">
    <w:abstractNumId w:val="18"/>
  </w:num>
  <w:num w:numId="8" w16cid:durableId="820000239">
    <w:abstractNumId w:val="5"/>
  </w:num>
  <w:num w:numId="9" w16cid:durableId="1418207271">
    <w:abstractNumId w:val="23"/>
  </w:num>
  <w:num w:numId="10" w16cid:durableId="1583371418">
    <w:abstractNumId w:val="26"/>
  </w:num>
  <w:num w:numId="11" w16cid:durableId="654532386">
    <w:abstractNumId w:val="11"/>
  </w:num>
  <w:num w:numId="12" w16cid:durableId="1304584639">
    <w:abstractNumId w:val="9"/>
  </w:num>
  <w:num w:numId="13" w16cid:durableId="721171787">
    <w:abstractNumId w:val="7"/>
  </w:num>
  <w:num w:numId="14" w16cid:durableId="1592349769">
    <w:abstractNumId w:val="25"/>
  </w:num>
  <w:num w:numId="15" w16cid:durableId="278998918">
    <w:abstractNumId w:val="14"/>
  </w:num>
  <w:num w:numId="16" w16cid:durableId="434713335">
    <w:abstractNumId w:val="24"/>
  </w:num>
  <w:num w:numId="17" w16cid:durableId="1786650561">
    <w:abstractNumId w:val="15"/>
  </w:num>
  <w:num w:numId="18" w16cid:durableId="119229966">
    <w:abstractNumId w:val="6"/>
  </w:num>
  <w:num w:numId="19" w16cid:durableId="773282714">
    <w:abstractNumId w:val="20"/>
  </w:num>
  <w:num w:numId="20" w16cid:durableId="1943295931">
    <w:abstractNumId w:val="1"/>
  </w:num>
  <w:num w:numId="21" w16cid:durableId="721640857">
    <w:abstractNumId w:val="28"/>
  </w:num>
  <w:num w:numId="22" w16cid:durableId="1167212164">
    <w:abstractNumId w:val="29"/>
  </w:num>
  <w:num w:numId="23" w16cid:durableId="240023206">
    <w:abstractNumId w:val="21"/>
  </w:num>
  <w:num w:numId="24" w16cid:durableId="191648044">
    <w:abstractNumId w:val="10"/>
  </w:num>
  <w:num w:numId="25" w16cid:durableId="473066965">
    <w:abstractNumId w:val="19"/>
  </w:num>
  <w:num w:numId="26" w16cid:durableId="1489638411">
    <w:abstractNumId w:val="17"/>
  </w:num>
  <w:num w:numId="27" w16cid:durableId="1422525457">
    <w:abstractNumId w:val="16"/>
  </w:num>
  <w:num w:numId="28" w16cid:durableId="653946618">
    <w:abstractNumId w:val="4"/>
  </w:num>
  <w:num w:numId="29" w16cid:durableId="1543327048">
    <w:abstractNumId w:val="30"/>
  </w:num>
  <w:num w:numId="30" w16cid:durableId="991716118">
    <w:abstractNumId w:val="12"/>
  </w:num>
  <w:num w:numId="31" w16cid:durableId="737675157">
    <w:abstractNumId w:val="13"/>
  </w:num>
  <w:num w:numId="32" w16cid:durableId="526335178">
    <w:abstractNumId w:val="8"/>
  </w:num>
  <w:num w:numId="33" w16cid:durableId="55773951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86"/>
    <w:rsid w:val="00002C14"/>
    <w:rsid w:val="00003844"/>
    <w:rsid w:val="00011C66"/>
    <w:rsid w:val="000129A5"/>
    <w:rsid w:val="00012A37"/>
    <w:rsid w:val="000262F6"/>
    <w:rsid w:val="00026BD3"/>
    <w:rsid w:val="00033397"/>
    <w:rsid w:val="00040095"/>
    <w:rsid w:val="000438C2"/>
    <w:rsid w:val="00046768"/>
    <w:rsid w:val="0004681A"/>
    <w:rsid w:val="00051834"/>
    <w:rsid w:val="000528BC"/>
    <w:rsid w:val="0005477E"/>
    <w:rsid w:val="00054A22"/>
    <w:rsid w:val="00060F87"/>
    <w:rsid w:val="00062023"/>
    <w:rsid w:val="000655A6"/>
    <w:rsid w:val="00077697"/>
    <w:rsid w:val="00080512"/>
    <w:rsid w:val="0009500A"/>
    <w:rsid w:val="00096CD8"/>
    <w:rsid w:val="000A365D"/>
    <w:rsid w:val="000A46CB"/>
    <w:rsid w:val="000A6245"/>
    <w:rsid w:val="000A68F3"/>
    <w:rsid w:val="000B4E6A"/>
    <w:rsid w:val="000B7599"/>
    <w:rsid w:val="000C47C3"/>
    <w:rsid w:val="000D2AB6"/>
    <w:rsid w:val="000D2C4B"/>
    <w:rsid w:val="000D58AB"/>
    <w:rsid w:val="000D7878"/>
    <w:rsid w:val="000E3702"/>
    <w:rsid w:val="000F1D2A"/>
    <w:rsid w:val="000F3400"/>
    <w:rsid w:val="000F42F7"/>
    <w:rsid w:val="000F4BE8"/>
    <w:rsid w:val="000F5D71"/>
    <w:rsid w:val="00101EB9"/>
    <w:rsid w:val="00104BC6"/>
    <w:rsid w:val="00112A20"/>
    <w:rsid w:val="00112D80"/>
    <w:rsid w:val="00114E2C"/>
    <w:rsid w:val="00125033"/>
    <w:rsid w:val="001319D7"/>
    <w:rsid w:val="00133525"/>
    <w:rsid w:val="00134E23"/>
    <w:rsid w:val="00135619"/>
    <w:rsid w:val="00152010"/>
    <w:rsid w:val="001620A7"/>
    <w:rsid w:val="00162A8A"/>
    <w:rsid w:val="00165302"/>
    <w:rsid w:val="00171166"/>
    <w:rsid w:val="00182F98"/>
    <w:rsid w:val="0019040A"/>
    <w:rsid w:val="00191964"/>
    <w:rsid w:val="00193F04"/>
    <w:rsid w:val="001A1513"/>
    <w:rsid w:val="001A4C42"/>
    <w:rsid w:val="001C21C3"/>
    <w:rsid w:val="001D02C2"/>
    <w:rsid w:val="001D3883"/>
    <w:rsid w:val="001D69B8"/>
    <w:rsid w:val="001E6A20"/>
    <w:rsid w:val="001F0C1D"/>
    <w:rsid w:val="001F1132"/>
    <w:rsid w:val="001F168B"/>
    <w:rsid w:val="00200761"/>
    <w:rsid w:val="00210943"/>
    <w:rsid w:val="002110E6"/>
    <w:rsid w:val="00211302"/>
    <w:rsid w:val="00223E60"/>
    <w:rsid w:val="00224D35"/>
    <w:rsid w:val="00225E3F"/>
    <w:rsid w:val="0023088C"/>
    <w:rsid w:val="002347A2"/>
    <w:rsid w:val="002419B9"/>
    <w:rsid w:val="00247926"/>
    <w:rsid w:val="00254E0F"/>
    <w:rsid w:val="00255247"/>
    <w:rsid w:val="002557C8"/>
    <w:rsid w:val="00257A99"/>
    <w:rsid w:val="002600B9"/>
    <w:rsid w:val="00261DE3"/>
    <w:rsid w:val="00262167"/>
    <w:rsid w:val="002654F1"/>
    <w:rsid w:val="002675F0"/>
    <w:rsid w:val="00276EE4"/>
    <w:rsid w:val="00281AB7"/>
    <w:rsid w:val="00285094"/>
    <w:rsid w:val="002868F0"/>
    <w:rsid w:val="00287B8F"/>
    <w:rsid w:val="00292223"/>
    <w:rsid w:val="002A4E8C"/>
    <w:rsid w:val="002A5644"/>
    <w:rsid w:val="002A7133"/>
    <w:rsid w:val="002B2D3F"/>
    <w:rsid w:val="002B378B"/>
    <w:rsid w:val="002B6339"/>
    <w:rsid w:val="002D16F1"/>
    <w:rsid w:val="002D22D9"/>
    <w:rsid w:val="002D56F3"/>
    <w:rsid w:val="002D6F19"/>
    <w:rsid w:val="002E00EE"/>
    <w:rsid w:val="002F21F4"/>
    <w:rsid w:val="002F5216"/>
    <w:rsid w:val="00300ACF"/>
    <w:rsid w:val="00300BA9"/>
    <w:rsid w:val="00301868"/>
    <w:rsid w:val="00303F37"/>
    <w:rsid w:val="00307031"/>
    <w:rsid w:val="003107C2"/>
    <w:rsid w:val="00313A57"/>
    <w:rsid w:val="003172DC"/>
    <w:rsid w:val="003348D2"/>
    <w:rsid w:val="0033606D"/>
    <w:rsid w:val="00336438"/>
    <w:rsid w:val="003378AE"/>
    <w:rsid w:val="0034052F"/>
    <w:rsid w:val="00340CDF"/>
    <w:rsid w:val="0034273B"/>
    <w:rsid w:val="00345425"/>
    <w:rsid w:val="0034735C"/>
    <w:rsid w:val="0035000F"/>
    <w:rsid w:val="003523D8"/>
    <w:rsid w:val="0035462D"/>
    <w:rsid w:val="00357075"/>
    <w:rsid w:val="003650C3"/>
    <w:rsid w:val="0036620E"/>
    <w:rsid w:val="00370A9A"/>
    <w:rsid w:val="00371558"/>
    <w:rsid w:val="0037264F"/>
    <w:rsid w:val="003765B8"/>
    <w:rsid w:val="00384F83"/>
    <w:rsid w:val="003A0483"/>
    <w:rsid w:val="003B4652"/>
    <w:rsid w:val="003C3971"/>
    <w:rsid w:val="003C4D69"/>
    <w:rsid w:val="003D37E2"/>
    <w:rsid w:val="003D4522"/>
    <w:rsid w:val="003E2C78"/>
    <w:rsid w:val="003E7753"/>
    <w:rsid w:val="003F07E3"/>
    <w:rsid w:val="003F5675"/>
    <w:rsid w:val="003F6793"/>
    <w:rsid w:val="0040110C"/>
    <w:rsid w:val="0040183E"/>
    <w:rsid w:val="0041089F"/>
    <w:rsid w:val="00412687"/>
    <w:rsid w:val="00423334"/>
    <w:rsid w:val="00424397"/>
    <w:rsid w:val="0042668D"/>
    <w:rsid w:val="00430001"/>
    <w:rsid w:val="004345EC"/>
    <w:rsid w:val="00435B44"/>
    <w:rsid w:val="004406A5"/>
    <w:rsid w:val="00442E80"/>
    <w:rsid w:val="00443B1F"/>
    <w:rsid w:val="00445952"/>
    <w:rsid w:val="00447B7C"/>
    <w:rsid w:val="00447E12"/>
    <w:rsid w:val="00455635"/>
    <w:rsid w:val="00472C04"/>
    <w:rsid w:val="004735B3"/>
    <w:rsid w:val="0048182A"/>
    <w:rsid w:val="004826A9"/>
    <w:rsid w:val="004837BD"/>
    <w:rsid w:val="004A603D"/>
    <w:rsid w:val="004A6B02"/>
    <w:rsid w:val="004B0ECB"/>
    <w:rsid w:val="004C15C7"/>
    <w:rsid w:val="004C1601"/>
    <w:rsid w:val="004C21DF"/>
    <w:rsid w:val="004C5265"/>
    <w:rsid w:val="004D3578"/>
    <w:rsid w:val="004D6380"/>
    <w:rsid w:val="004E0E90"/>
    <w:rsid w:val="004E213A"/>
    <w:rsid w:val="004E3C97"/>
    <w:rsid w:val="004E7F50"/>
    <w:rsid w:val="004F0988"/>
    <w:rsid w:val="004F3340"/>
    <w:rsid w:val="004F3E3D"/>
    <w:rsid w:val="004F46DD"/>
    <w:rsid w:val="004F6220"/>
    <w:rsid w:val="00500743"/>
    <w:rsid w:val="00503000"/>
    <w:rsid w:val="005032A8"/>
    <w:rsid w:val="005037D3"/>
    <w:rsid w:val="0050596C"/>
    <w:rsid w:val="00506787"/>
    <w:rsid w:val="005157F0"/>
    <w:rsid w:val="00520120"/>
    <w:rsid w:val="005204B4"/>
    <w:rsid w:val="0052244D"/>
    <w:rsid w:val="005273BE"/>
    <w:rsid w:val="005324C2"/>
    <w:rsid w:val="0053388B"/>
    <w:rsid w:val="00535773"/>
    <w:rsid w:val="00537C54"/>
    <w:rsid w:val="00542052"/>
    <w:rsid w:val="00543E6C"/>
    <w:rsid w:val="00551342"/>
    <w:rsid w:val="00554CE1"/>
    <w:rsid w:val="00555534"/>
    <w:rsid w:val="0056116C"/>
    <w:rsid w:val="00562380"/>
    <w:rsid w:val="00562844"/>
    <w:rsid w:val="00565087"/>
    <w:rsid w:val="0057261C"/>
    <w:rsid w:val="00572E14"/>
    <w:rsid w:val="00582450"/>
    <w:rsid w:val="005930E6"/>
    <w:rsid w:val="005973BE"/>
    <w:rsid w:val="005A5986"/>
    <w:rsid w:val="005B1F1B"/>
    <w:rsid w:val="005B365D"/>
    <w:rsid w:val="005B3CCF"/>
    <w:rsid w:val="005C2A4F"/>
    <w:rsid w:val="005C4000"/>
    <w:rsid w:val="005C422A"/>
    <w:rsid w:val="005C7C46"/>
    <w:rsid w:val="005D2E01"/>
    <w:rsid w:val="005D7526"/>
    <w:rsid w:val="005E69AE"/>
    <w:rsid w:val="005F22A6"/>
    <w:rsid w:val="005F4B4C"/>
    <w:rsid w:val="005F4CDD"/>
    <w:rsid w:val="005F6269"/>
    <w:rsid w:val="006021D4"/>
    <w:rsid w:val="00602AEA"/>
    <w:rsid w:val="00607E3C"/>
    <w:rsid w:val="00614FDF"/>
    <w:rsid w:val="00623C82"/>
    <w:rsid w:val="006246A7"/>
    <w:rsid w:val="0062595A"/>
    <w:rsid w:val="00632B45"/>
    <w:rsid w:val="006343D6"/>
    <w:rsid w:val="0063543D"/>
    <w:rsid w:val="006446B1"/>
    <w:rsid w:val="006459B5"/>
    <w:rsid w:val="00647114"/>
    <w:rsid w:val="006552DD"/>
    <w:rsid w:val="00662A4B"/>
    <w:rsid w:val="0066731C"/>
    <w:rsid w:val="006753FB"/>
    <w:rsid w:val="006759E6"/>
    <w:rsid w:val="00675E2D"/>
    <w:rsid w:val="00691B96"/>
    <w:rsid w:val="006A0145"/>
    <w:rsid w:val="006A016F"/>
    <w:rsid w:val="006A1291"/>
    <w:rsid w:val="006A323F"/>
    <w:rsid w:val="006B30D0"/>
    <w:rsid w:val="006B79CB"/>
    <w:rsid w:val="006C043F"/>
    <w:rsid w:val="006C0AD3"/>
    <w:rsid w:val="006C3D95"/>
    <w:rsid w:val="006C638F"/>
    <w:rsid w:val="006C79D3"/>
    <w:rsid w:val="006D11F6"/>
    <w:rsid w:val="006D1E99"/>
    <w:rsid w:val="006E3141"/>
    <w:rsid w:val="006E5C86"/>
    <w:rsid w:val="006F71F4"/>
    <w:rsid w:val="00705538"/>
    <w:rsid w:val="007059D9"/>
    <w:rsid w:val="007060EB"/>
    <w:rsid w:val="00713C44"/>
    <w:rsid w:val="00723A44"/>
    <w:rsid w:val="00726A73"/>
    <w:rsid w:val="00734A5B"/>
    <w:rsid w:val="0074026F"/>
    <w:rsid w:val="007420D3"/>
    <w:rsid w:val="007429F6"/>
    <w:rsid w:val="00742B5A"/>
    <w:rsid w:val="00744E76"/>
    <w:rsid w:val="00752198"/>
    <w:rsid w:val="00753881"/>
    <w:rsid w:val="00756E2A"/>
    <w:rsid w:val="007615CA"/>
    <w:rsid w:val="00762483"/>
    <w:rsid w:val="0076512C"/>
    <w:rsid w:val="00771937"/>
    <w:rsid w:val="0077432F"/>
    <w:rsid w:val="00774DA4"/>
    <w:rsid w:val="00777FBD"/>
    <w:rsid w:val="00781F0F"/>
    <w:rsid w:val="007851C1"/>
    <w:rsid w:val="00786D37"/>
    <w:rsid w:val="00791FEE"/>
    <w:rsid w:val="007B2F1E"/>
    <w:rsid w:val="007B462B"/>
    <w:rsid w:val="007B600E"/>
    <w:rsid w:val="007C4A4E"/>
    <w:rsid w:val="007D5172"/>
    <w:rsid w:val="007D53B3"/>
    <w:rsid w:val="007D5A1C"/>
    <w:rsid w:val="007D7D88"/>
    <w:rsid w:val="007E2E4B"/>
    <w:rsid w:val="007E6293"/>
    <w:rsid w:val="007F0F4A"/>
    <w:rsid w:val="008028A4"/>
    <w:rsid w:val="00803440"/>
    <w:rsid w:val="008038C2"/>
    <w:rsid w:val="00810E8D"/>
    <w:rsid w:val="00820B25"/>
    <w:rsid w:val="00820E0F"/>
    <w:rsid w:val="00821AEF"/>
    <w:rsid w:val="00826E3B"/>
    <w:rsid w:val="00830747"/>
    <w:rsid w:val="00833358"/>
    <w:rsid w:val="008340FF"/>
    <w:rsid w:val="008366FC"/>
    <w:rsid w:val="00841896"/>
    <w:rsid w:val="0084389E"/>
    <w:rsid w:val="00843B15"/>
    <w:rsid w:val="00854DFA"/>
    <w:rsid w:val="008559EF"/>
    <w:rsid w:val="008569D0"/>
    <w:rsid w:val="00863A2E"/>
    <w:rsid w:val="008768CA"/>
    <w:rsid w:val="0088083B"/>
    <w:rsid w:val="008826B0"/>
    <w:rsid w:val="008A479E"/>
    <w:rsid w:val="008A54F8"/>
    <w:rsid w:val="008A5EFF"/>
    <w:rsid w:val="008B2D3A"/>
    <w:rsid w:val="008C1634"/>
    <w:rsid w:val="008C384C"/>
    <w:rsid w:val="008C4A39"/>
    <w:rsid w:val="008D3F18"/>
    <w:rsid w:val="008E112D"/>
    <w:rsid w:val="008E734D"/>
    <w:rsid w:val="008E7986"/>
    <w:rsid w:val="008F15A3"/>
    <w:rsid w:val="008F6E7F"/>
    <w:rsid w:val="0090271F"/>
    <w:rsid w:val="00902E23"/>
    <w:rsid w:val="009073D6"/>
    <w:rsid w:val="00910D9E"/>
    <w:rsid w:val="009114D7"/>
    <w:rsid w:val="009125EF"/>
    <w:rsid w:val="0091348E"/>
    <w:rsid w:val="00915D75"/>
    <w:rsid w:val="00917398"/>
    <w:rsid w:val="00917CCB"/>
    <w:rsid w:val="00917D25"/>
    <w:rsid w:val="00924DAC"/>
    <w:rsid w:val="00926F97"/>
    <w:rsid w:val="0093257B"/>
    <w:rsid w:val="00935B71"/>
    <w:rsid w:val="009426F4"/>
    <w:rsid w:val="00942EC2"/>
    <w:rsid w:val="00947ADF"/>
    <w:rsid w:val="00947F73"/>
    <w:rsid w:val="009545A1"/>
    <w:rsid w:val="009648C8"/>
    <w:rsid w:val="009653C7"/>
    <w:rsid w:val="009750A6"/>
    <w:rsid w:val="009876B4"/>
    <w:rsid w:val="00991277"/>
    <w:rsid w:val="00991C1A"/>
    <w:rsid w:val="009A758A"/>
    <w:rsid w:val="009B54B4"/>
    <w:rsid w:val="009C2C1B"/>
    <w:rsid w:val="009C412B"/>
    <w:rsid w:val="009C47B5"/>
    <w:rsid w:val="009E4AB1"/>
    <w:rsid w:val="009F237D"/>
    <w:rsid w:val="009F2F14"/>
    <w:rsid w:val="009F37B7"/>
    <w:rsid w:val="009F4887"/>
    <w:rsid w:val="009F5E43"/>
    <w:rsid w:val="00A03460"/>
    <w:rsid w:val="00A051F0"/>
    <w:rsid w:val="00A07446"/>
    <w:rsid w:val="00A10F02"/>
    <w:rsid w:val="00A164B4"/>
    <w:rsid w:val="00A22938"/>
    <w:rsid w:val="00A241A7"/>
    <w:rsid w:val="00A255D6"/>
    <w:rsid w:val="00A2564E"/>
    <w:rsid w:val="00A26956"/>
    <w:rsid w:val="00A33E80"/>
    <w:rsid w:val="00A37271"/>
    <w:rsid w:val="00A41A75"/>
    <w:rsid w:val="00A4303F"/>
    <w:rsid w:val="00A47362"/>
    <w:rsid w:val="00A53724"/>
    <w:rsid w:val="00A5526E"/>
    <w:rsid w:val="00A66A04"/>
    <w:rsid w:val="00A73129"/>
    <w:rsid w:val="00A76978"/>
    <w:rsid w:val="00A82346"/>
    <w:rsid w:val="00A82D1F"/>
    <w:rsid w:val="00A8668F"/>
    <w:rsid w:val="00A9153E"/>
    <w:rsid w:val="00A91EAD"/>
    <w:rsid w:val="00A92BA1"/>
    <w:rsid w:val="00A951A7"/>
    <w:rsid w:val="00AB7F3B"/>
    <w:rsid w:val="00AC0039"/>
    <w:rsid w:val="00AC135F"/>
    <w:rsid w:val="00AC4BA4"/>
    <w:rsid w:val="00AC54B7"/>
    <w:rsid w:val="00AC6BC6"/>
    <w:rsid w:val="00AD2973"/>
    <w:rsid w:val="00AD47EE"/>
    <w:rsid w:val="00AD5DD7"/>
    <w:rsid w:val="00AE361D"/>
    <w:rsid w:val="00AE3797"/>
    <w:rsid w:val="00AE5821"/>
    <w:rsid w:val="00AF36D6"/>
    <w:rsid w:val="00AF4359"/>
    <w:rsid w:val="00AF4FE2"/>
    <w:rsid w:val="00AF5752"/>
    <w:rsid w:val="00B03FD0"/>
    <w:rsid w:val="00B06539"/>
    <w:rsid w:val="00B10171"/>
    <w:rsid w:val="00B15449"/>
    <w:rsid w:val="00B16019"/>
    <w:rsid w:val="00B16451"/>
    <w:rsid w:val="00B211C1"/>
    <w:rsid w:val="00B27217"/>
    <w:rsid w:val="00B27C15"/>
    <w:rsid w:val="00B32270"/>
    <w:rsid w:val="00B3654C"/>
    <w:rsid w:val="00B43A3F"/>
    <w:rsid w:val="00B44E1F"/>
    <w:rsid w:val="00B4615A"/>
    <w:rsid w:val="00B60B51"/>
    <w:rsid w:val="00B61EEA"/>
    <w:rsid w:val="00B620CD"/>
    <w:rsid w:val="00B62DE3"/>
    <w:rsid w:val="00B745B2"/>
    <w:rsid w:val="00B763CA"/>
    <w:rsid w:val="00B774BF"/>
    <w:rsid w:val="00B83171"/>
    <w:rsid w:val="00B838F7"/>
    <w:rsid w:val="00B913A1"/>
    <w:rsid w:val="00B93086"/>
    <w:rsid w:val="00BA19ED"/>
    <w:rsid w:val="00BA1B6A"/>
    <w:rsid w:val="00BA300B"/>
    <w:rsid w:val="00BA4B8D"/>
    <w:rsid w:val="00BA59E2"/>
    <w:rsid w:val="00BA76F9"/>
    <w:rsid w:val="00BA7900"/>
    <w:rsid w:val="00BB57B3"/>
    <w:rsid w:val="00BC0F7D"/>
    <w:rsid w:val="00BC4103"/>
    <w:rsid w:val="00BD07FF"/>
    <w:rsid w:val="00BD69DB"/>
    <w:rsid w:val="00BE2A72"/>
    <w:rsid w:val="00BE3255"/>
    <w:rsid w:val="00BE3B9C"/>
    <w:rsid w:val="00BF128E"/>
    <w:rsid w:val="00BF1E1E"/>
    <w:rsid w:val="00C02C5C"/>
    <w:rsid w:val="00C054B3"/>
    <w:rsid w:val="00C1496A"/>
    <w:rsid w:val="00C15F7F"/>
    <w:rsid w:val="00C2281E"/>
    <w:rsid w:val="00C24837"/>
    <w:rsid w:val="00C26810"/>
    <w:rsid w:val="00C33079"/>
    <w:rsid w:val="00C34DDA"/>
    <w:rsid w:val="00C353F4"/>
    <w:rsid w:val="00C45231"/>
    <w:rsid w:val="00C63D49"/>
    <w:rsid w:val="00C72833"/>
    <w:rsid w:val="00C7616D"/>
    <w:rsid w:val="00C80F1D"/>
    <w:rsid w:val="00C82174"/>
    <w:rsid w:val="00C83BD4"/>
    <w:rsid w:val="00C93538"/>
    <w:rsid w:val="00C93F40"/>
    <w:rsid w:val="00C95679"/>
    <w:rsid w:val="00C9693D"/>
    <w:rsid w:val="00C969B2"/>
    <w:rsid w:val="00CA3D0C"/>
    <w:rsid w:val="00CB51CC"/>
    <w:rsid w:val="00CC59FA"/>
    <w:rsid w:val="00CD0EA6"/>
    <w:rsid w:val="00CD45C9"/>
    <w:rsid w:val="00CD655A"/>
    <w:rsid w:val="00CE4C40"/>
    <w:rsid w:val="00CF20E3"/>
    <w:rsid w:val="00D008D3"/>
    <w:rsid w:val="00D04514"/>
    <w:rsid w:val="00D05632"/>
    <w:rsid w:val="00D07C26"/>
    <w:rsid w:val="00D17573"/>
    <w:rsid w:val="00D3057E"/>
    <w:rsid w:val="00D309CC"/>
    <w:rsid w:val="00D36FF0"/>
    <w:rsid w:val="00D41667"/>
    <w:rsid w:val="00D42AC7"/>
    <w:rsid w:val="00D46431"/>
    <w:rsid w:val="00D56A52"/>
    <w:rsid w:val="00D57972"/>
    <w:rsid w:val="00D673CA"/>
    <w:rsid w:val="00D675A9"/>
    <w:rsid w:val="00D733D5"/>
    <w:rsid w:val="00D738D6"/>
    <w:rsid w:val="00D755EB"/>
    <w:rsid w:val="00D77439"/>
    <w:rsid w:val="00D820C4"/>
    <w:rsid w:val="00D82C13"/>
    <w:rsid w:val="00D83477"/>
    <w:rsid w:val="00D836CB"/>
    <w:rsid w:val="00D857BA"/>
    <w:rsid w:val="00D8640F"/>
    <w:rsid w:val="00D866D7"/>
    <w:rsid w:val="00D87497"/>
    <w:rsid w:val="00D877CA"/>
    <w:rsid w:val="00D87E00"/>
    <w:rsid w:val="00D9134D"/>
    <w:rsid w:val="00D970EA"/>
    <w:rsid w:val="00D97FCF"/>
    <w:rsid w:val="00DA27C2"/>
    <w:rsid w:val="00DA60EC"/>
    <w:rsid w:val="00DA7A03"/>
    <w:rsid w:val="00DB1818"/>
    <w:rsid w:val="00DB5EF6"/>
    <w:rsid w:val="00DC309B"/>
    <w:rsid w:val="00DC4DA2"/>
    <w:rsid w:val="00DC7727"/>
    <w:rsid w:val="00DD03DF"/>
    <w:rsid w:val="00DD18AC"/>
    <w:rsid w:val="00DD27CF"/>
    <w:rsid w:val="00DD4C17"/>
    <w:rsid w:val="00DE676A"/>
    <w:rsid w:val="00DF2B1F"/>
    <w:rsid w:val="00DF6189"/>
    <w:rsid w:val="00DF62CD"/>
    <w:rsid w:val="00E00755"/>
    <w:rsid w:val="00E02E2B"/>
    <w:rsid w:val="00E068AE"/>
    <w:rsid w:val="00E07D2B"/>
    <w:rsid w:val="00E100E0"/>
    <w:rsid w:val="00E144A6"/>
    <w:rsid w:val="00E1558D"/>
    <w:rsid w:val="00E16486"/>
    <w:rsid w:val="00E16509"/>
    <w:rsid w:val="00E22E04"/>
    <w:rsid w:val="00E40560"/>
    <w:rsid w:val="00E41341"/>
    <w:rsid w:val="00E44582"/>
    <w:rsid w:val="00E45E4A"/>
    <w:rsid w:val="00E52814"/>
    <w:rsid w:val="00E670FF"/>
    <w:rsid w:val="00E72324"/>
    <w:rsid w:val="00E723B3"/>
    <w:rsid w:val="00E72ABE"/>
    <w:rsid w:val="00E77645"/>
    <w:rsid w:val="00E84530"/>
    <w:rsid w:val="00E87309"/>
    <w:rsid w:val="00E87A96"/>
    <w:rsid w:val="00EA38BE"/>
    <w:rsid w:val="00EB22F4"/>
    <w:rsid w:val="00EC3517"/>
    <w:rsid w:val="00EC454E"/>
    <w:rsid w:val="00EC4A25"/>
    <w:rsid w:val="00ED2E9E"/>
    <w:rsid w:val="00EE0D55"/>
    <w:rsid w:val="00EE2719"/>
    <w:rsid w:val="00EE4AD0"/>
    <w:rsid w:val="00EE57BC"/>
    <w:rsid w:val="00EE5AA7"/>
    <w:rsid w:val="00EF433E"/>
    <w:rsid w:val="00EF4B21"/>
    <w:rsid w:val="00F025A2"/>
    <w:rsid w:val="00F027A2"/>
    <w:rsid w:val="00F0286F"/>
    <w:rsid w:val="00F03D8B"/>
    <w:rsid w:val="00F04712"/>
    <w:rsid w:val="00F04A63"/>
    <w:rsid w:val="00F0567B"/>
    <w:rsid w:val="00F064C8"/>
    <w:rsid w:val="00F07B00"/>
    <w:rsid w:val="00F1084D"/>
    <w:rsid w:val="00F1639A"/>
    <w:rsid w:val="00F20DA5"/>
    <w:rsid w:val="00F21311"/>
    <w:rsid w:val="00F21696"/>
    <w:rsid w:val="00F22EC7"/>
    <w:rsid w:val="00F2340C"/>
    <w:rsid w:val="00F24231"/>
    <w:rsid w:val="00F267B8"/>
    <w:rsid w:val="00F3025B"/>
    <w:rsid w:val="00F31878"/>
    <w:rsid w:val="00F31A38"/>
    <w:rsid w:val="00F325C8"/>
    <w:rsid w:val="00F3263B"/>
    <w:rsid w:val="00F33616"/>
    <w:rsid w:val="00F40BE4"/>
    <w:rsid w:val="00F417A1"/>
    <w:rsid w:val="00F55E63"/>
    <w:rsid w:val="00F614F2"/>
    <w:rsid w:val="00F61745"/>
    <w:rsid w:val="00F62AEB"/>
    <w:rsid w:val="00F63841"/>
    <w:rsid w:val="00F64730"/>
    <w:rsid w:val="00F653B8"/>
    <w:rsid w:val="00F70647"/>
    <w:rsid w:val="00F75917"/>
    <w:rsid w:val="00F82261"/>
    <w:rsid w:val="00F94A52"/>
    <w:rsid w:val="00FA1266"/>
    <w:rsid w:val="00FA2910"/>
    <w:rsid w:val="00FA65D0"/>
    <w:rsid w:val="00FB56EC"/>
    <w:rsid w:val="00FC1192"/>
    <w:rsid w:val="00FC41AB"/>
    <w:rsid w:val="00FC671A"/>
    <w:rsid w:val="00FD1E6E"/>
    <w:rsid w:val="00FD2E2F"/>
    <w:rsid w:val="00FD3696"/>
    <w:rsid w:val="00FE2A7F"/>
    <w:rsid w:val="00FE59E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rsid w:val="00542052"/>
    <w:rPr>
      <w:sz w:val="16"/>
      <w:szCs w:val="16"/>
    </w:rPr>
  </w:style>
  <w:style w:type="paragraph" w:styleId="CommentText">
    <w:name w:val="annotation text"/>
    <w:basedOn w:val="Normal"/>
    <w:link w:val="CommentTextChar"/>
    <w:rsid w:val="00542052"/>
    <w:rPr>
      <w:sz w:val="20"/>
      <w:szCs w:val="20"/>
    </w:rPr>
  </w:style>
  <w:style w:type="character" w:customStyle="1" w:styleId="CommentTextChar">
    <w:name w:val="Comment Text Char"/>
    <w:basedOn w:val="DefaultParagraphFont"/>
    <w:link w:val="CommentTex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TotalTime>
  <Pages>3</Pages>
  <Words>1114</Words>
  <Characters>6355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7455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Steven Chen</cp:lastModifiedBy>
  <cp:revision>5</cp:revision>
  <cp:lastPrinted>2019-02-25T14:05:00Z</cp:lastPrinted>
  <dcterms:created xsi:type="dcterms:W3CDTF">2024-06-07T23:40:00Z</dcterms:created>
  <dcterms:modified xsi:type="dcterms:W3CDTF">2024-06-10T17:13:00Z</dcterms:modified>
  <cp:category/>
</cp:coreProperties>
</file>